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BE" w:rsidRPr="006502D0" w:rsidRDefault="003E2EBE" w:rsidP="003E2EBE">
      <w:pPr>
        <w:pStyle w:val="11"/>
      </w:pPr>
      <w:bookmarkStart w:id="0" w:name="_Toc304389897"/>
      <w:bookmarkStart w:id="1" w:name="_Toc304390205"/>
      <w:r w:rsidRPr="006502D0">
        <w:t>Автоматизация управления контингентом участников распределенной обработки данных</w:t>
      </w:r>
      <w:bookmarkEnd w:id="0"/>
      <w:bookmarkEnd w:id="1"/>
    </w:p>
    <w:p w:rsidR="003E2EBE" w:rsidRPr="006502D0" w:rsidRDefault="003E2EBE" w:rsidP="003E2EBE">
      <w:pPr>
        <w:pStyle w:val="22"/>
      </w:pPr>
      <w:bookmarkStart w:id="2" w:name="_Toc304389898"/>
      <w:bookmarkStart w:id="3" w:name="_Toc304390206"/>
      <w:r w:rsidRPr="006502D0">
        <w:t>Н.</w:t>
      </w:r>
      <w:r>
        <w:t xml:space="preserve"> </w:t>
      </w:r>
      <w:r w:rsidRPr="006502D0">
        <w:t>А.</w:t>
      </w:r>
      <w:r>
        <w:t xml:space="preserve"> </w:t>
      </w:r>
      <w:bookmarkStart w:id="4" w:name="_GoBack"/>
      <w:proofErr w:type="spellStart"/>
      <w:r w:rsidRPr="006502D0">
        <w:t>Ащеулова</w:t>
      </w:r>
      <w:bookmarkEnd w:id="4"/>
      <w:proofErr w:type="spellEnd"/>
      <w:r>
        <w:fldChar w:fldCharType="begin"/>
      </w:r>
      <w:r>
        <w:instrText xml:space="preserve"> XE "</w:instrText>
      </w:r>
      <w:r w:rsidRPr="00504EB1">
        <w:instrText>Ащеулова Н. А.</w:instrText>
      </w:r>
      <w:r>
        <w:instrText xml:space="preserve">" </w:instrText>
      </w:r>
      <w:r>
        <w:fldChar w:fldCharType="end"/>
      </w:r>
      <w:r w:rsidRPr="006502D0">
        <w:t>, П.</w:t>
      </w:r>
      <w:r>
        <w:t xml:space="preserve"> </w:t>
      </w:r>
      <w:r w:rsidRPr="006502D0">
        <w:t>В.</w:t>
      </w:r>
      <w:r>
        <w:t xml:space="preserve"> Веденеев</w:t>
      </w:r>
      <w:r>
        <w:fldChar w:fldCharType="begin"/>
      </w:r>
      <w:r>
        <w:instrText xml:space="preserve"> XE "</w:instrText>
      </w:r>
      <w:r w:rsidRPr="00504EB1">
        <w:instrText>Веденеев П. В.</w:instrText>
      </w:r>
      <w:r>
        <w:instrText xml:space="preserve">" </w:instrText>
      </w:r>
      <w:r>
        <w:fldChar w:fldCharType="end"/>
      </w:r>
      <w:r w:rsidRPr="006502D0">
        <w:t>, Т.</w:t>
      </w:r>
      <w:r>
        <w:t xml:space="preserve"> </w:t>
      </w:r>
      <w:r w:rsidRPr="006502D0">
        <w:t>В.</w:t>
      </w:r>
      <w:r>
        <w:t xml:space="preserve"> </w:t>
      </w:r>
      <w:r w:rsidRPr="006502D0">
        <w:t>Волкова</w:t>
      </w:r>
      <w:bookmarkEnd w:id="2"/>
      <w:bookmarkEnd w:id="3"/>
      <w:r w:rsidRPr="006502D0">
        <w:t xml:space="preserve"> </w:t>
      </w:r>
      <w:r>
        <w:fldChar w:fldCharType="begin"/>
      </w:r>
      <w:r>
        <w:instrText xml:space="preserve"> XE "</w:instrText>
      </w:r>
      <w:r w:rsidRPr="00504EB1">
        <w:instrText>Волкова Т. В.</w:instrText>
      </w:r>
      <w:r>
        <w:instrText xml:space="preserve">" </w:instrText>
      </w:r>
      <w:r>
        <w:fldChar w:fldCharType="end"/>
      </w:r>
    </w:p>
    <w:p w:rsidR="003E2EBE" w:rsidRPr="006502D0" w:rsidRDefault="003E2EBE" w:rsidP="003E2EBE">
      <w:pPr>
        <w:pStyle w:val="ad"/>
      </w:pPr>
      <w:r w:rsidRPr="006502D0">
        <w:t>Оренбургский государственный университет</w:t>
      </w:r>
      <w:r>
        <w:fldChar w:fldCharType="begin"/>
      </w:r>
      <w:r>
        <w:instrText xml:space="preserve"> XE "</w:instrText>
      </w:r>
      <w:r w:rsidRPr="00504EB1">
        <w:instrText>Оренбургский государственный университет</w:instrText>
      </w:r>
      <w:r>
        <w:instrText xml:space="preserve">" </w:instrText>
      </w:r>
      <w:r>
        <w:fldChar w:fldCharType="end"/>
      </w:r>
    </w:p>
    <w:p w:rsidR="003E2EBE" w:rsidRPr="006502D0" w:rsidRDefault="003E2EBE" w:rsidP="003E2EBE">
      <w:pPr>
        <w:pStyle w:val="ad"/>
      </w:pPr>
      <w:r w:rsidRPr="006502D0">
        <w:t>Оренбург</w:t>
      </w:r>
    </w:p>
    <w:p w:rsidR="003E2EBE" w:rsidRPr="006502D0" w:rsidRDefault="003E2EBE" w:rsidP="003E2EBE">
      <w:pPr>
        <w:pStyle w:val="af"/>
      </w:pPr>
      <w:proofErr w:type="spellStart"/>
      <w:r w:rsidRPr="006502D0">
        <w:rPr>
          <w:lang w:val="en-US"/>
        </w:rPr>
        <w:t>tv</w:t>
      </w:r>
      <w:proofErr w:type="spellEnd"/>
      <w:r w:rsidRPr="006502D0">
        <w:t>@</w:t>
      </w:r>
      <w:r w:rsidRPr="006502D0">
        <w:rPr>
          <w:lang w:val="en-US"/>
        </w:rPr>
        <w:t>mail</w:t>
      </w:r>
      <w:r w:rsidRPr="006502D0">
        <w:t>.</w:t>
      </w:r>
      <w:proofErr w:type="spellStart"/>
      <w:r w:rsidRPr="006502D0">
        <w:rPr>
          <w:lang w:val="en-US"/>
        </w:rPr>
        <w:t>osu</w:t>
      </w:r>
      <w:proofErr w:type="spellEnd"/>
      <w:r w:rsidRPr="006502D0">
        <w:t>.</w:t>
      </w:r>
      <w:proofErr w:type="spellStart"/>
      <w:r w:rsidRPr="006502D0">
        <w:rPr>
          <w:lang w:val="en-US"/>
        </w:rPr>
        <w:t>ru</w:t>
      </w:r>
      <w:proofErr w:type="spellEnd"/>
    </w:p>
    <w:p w:rsidR="003E2EBE" w:rsidRPr="006502D0" w:rsidRDefault="003E2EBE" w:rsidP="003E2EBE">
      <w:pPr>
        <w:pStyle w:val="af1"/>
        <w:rPr>
          <w:bCs/>
        </w:rPr>
      </w:pPr>
      <w:r w:rsidRPr="006502D0">
        <w:t xml:space="preserve">Для информационного обеспечения системы управления </w:t>
      </w:r>
      <w:proofErr w:type="gramStart"/>
      <w:r w:rsidRPr="006502D0">
        <w:t>вузом</w:t>
      </w:r>
      <w:proofErr w:type="gramEnd"/>
      <w:r w:rsidRPr="006502D0">
        <w:t xml:space="preserve"> как на оп</w:t>
      </w:r>
      <w:r w:rsidRPr="006502D0">
        <w:t>е</w:t>
      </w:r>
      <w:r w:rsidRPr="006502D0">
        <w:t xml:space="preserve">ративном, так и на стратегическом уровнях, создания единой информационной среды все чаще используются средства интегрированных автоматизированных информационных систем (ИАИС), реализованных на основе современных СУБД, таких как </w:t>
      </w:r>
      <w:r w:rsidRPr="006502D0">
        <w:rPr>
          <w:lang w:val="en-US"/>
        </w:rPr>
        <w:t>Oracle</w:t>
      </w:r>
      <w:r w:rsidRPr="006502D0">
        <w:t xml:space="preserve">, </w:t>
      </w:r>
      <w:r w:rsidRPr="006502D0">
        <w:rPr>
          <w:lang w:val="en-US"/>
        </w:rPr>
        <w:t>MS</w:t>
      </w:r>
      <w:r w:rsidRPr="006502D0">
        <w:t xml:space="preserve"> </w:t>
      </w:r>
      <w:r w:rsidRPr="006502D0">
        <w:rPr>
          <w:lang w:val="en-US"/>
        </w:rPr>
        <w:t>SQL</w:t>
      </w:r>
      <w:r w:rsidRPr="006502D0">
        <w:t>. Функциональная составляющая ИАИС напра</w:t>
      </w:r>
      <w:r w:rsidRPr="006502D0">
        <w:t>в</w:t>
      </w:r>
      <w:r w:rsidRPr="006502D0">
        <w:t>лена на решение и локальных задач отдельных подразделений, и на автомат</w:t>
      </w:r>
      <w:r w:rsidRPr="006502D0">
        <w:t>и</w:t>
      </w:r>
      <w:r w:rsidRPr="006502D0">
        <w:t>зацию проблемно ориентированных процессов, которые реализуются посре</w:t>
      </w:r>
      <w:r w:rsidRPr="006502D0">
        <w:t>д</w:t>
      </w:r>
      <w:r w:rsidRPr="006502D0">
        <w:t>ством распределенной обработки данных большим количеством участников. Таким образом, в составе любой ИАИС поддерживается значительный состав персонала. Так</w:t>
      </w:r>
      <w:r>
        <w:t>,</w:t>
      </w:r>
      <w:r w:rsidRPr="006502D0">
        <w:t xml:space="preserve"> количество зарегистрированных пользователей информацио</w:t>
      </w:r>
      <w:r w:rsidRPr="006502D0">
        <w:t>н</w:t>
      </w:r>
      <w:r w:rsidRPr="006502D0">
        <w:t>но</w:t>
      </w:r>
      <w:r>
        <w:t>-</w:t>
      </w:r>
      <w:r w:rsidRPr="006502D0">
        <w:t>аналитической системы Оренбургского государственного университета (ИАС ОГУ) насчитывает более 1200 человек. Ежедневно с интегрированной базой данных работают сотрудники ректората, деканатов и учебных частей всех ф</w:t>
      </w:r>
      <w:r w:rsidRPr="006502D0">
        <w:t>а</w:t>
      </w:r>
      <w:r w:rsidRPr="006502D0">
        <w:t>культетов и институтов, управления кадров, финансово-экономического и уче</w:t>
      </w:r>
      <w:r w:rsidRPr="006502D0">
        <w:t>б</w:t>
      </w:r>
      <w:r w:rsidRPr="006502D0">
        <w:t>но-методического управлений, управления делами, более 20 различных отд</w:t>
      </w:r>
      <w:r w:rsidRPr="006502D0">
        <w:t>е</w:t>
      </w:r>
      <w:r w:rsidRPr="006502D0">
        <w:t xml:space="preserve">лов, двух филиалов и ряда других подразделений. Пользователи </w:t>
      </w:r>
      <w:r w:rsidRPr="006502D0">
        <w:rPr>
          <w:bCs/>
        </w:rPr>
        <w:t>ИАС ОГУ участвуют в различных процессах распределенной обработки данных, среди них: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ведение и контроль исполнения распорядительных документов униве</w:t>
      </w:r>
      <w:r w:rsidRPr="006502D0">
        <w:t>р</w:t>
      </w:r>
      <w:r w:rsidRPr="006502D0">
        <w:t>ситета (количество участников процесса – более 60 зарегистрированных пользователей);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формирование и исполнение штатного расписания подразделений (ок</w:t>
      </w:r>
      <w:r w:rsidRPr="006502D0">
        <w:t>о</w:t>
      </w:r>
      <w:r w:rsidRPr="006502D0">
        <w:t>ло 40);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учет и анализ состава контингента сотрудников (более 120);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 xml:space="preserve">учет и анализ состава контингента </w:t>
      </w:r>
      <w:proofErr w:type="gramStart"/>
      <w:r w:rsidRPr="006502D0">
        <w:t>обучающихся</w:t>
      </w:r>
      <w:proofErr w:type="gramEnd"/>
      <w:r w:rsidRPr="006502D0">
        <w:t xml:space="preserve"> (абитуриент, студент, аспирант </w:t>
      </w:r>
      <w:r>
        <w:t>–</w:t>
      </w:r>
      <w:r w:rsidRPr="006502D0">
        <w:t xml:space="preserve"> около 100);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учет и анализ модульной и семестровой успеваемости (свыше 300);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ранжирование и зачисление абитуриентов (свыше 200);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составление и проверка учебных планов (около 190);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создание и поддержка электронного фонда рабочих программ (более 20);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учет и анализ обеспечения образовательных услуг (более 30);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расписание учебных занятий (125);</w:t>
      </w:r>
    </w:p>
    <w:p w:rsidR="003E2EBE" w:rsidRPr="006502D0" w:rsidRDefault="003E2EBE" w:rsidP="003E2EBE">
      <w:pPr>
        <w:pStyle w:val="af1"/>
        <w:numPr>
          <w:ilvl w:val="0"/>
          <w:numId w:val="40"/>
        </w:numPr>
      </w:pPr>
      <w:r w:rsidRPr="006502D0">
        <w:t>анализ перспектив трудоустройства выпускников университета (около 20) и др.</w:t>
      </w:r>
    </w:p>
    <w:p w:rsidR="003E2EBE" w:rsidRPr="005E274A" w:rsidRDefault="003E2EBE" w:rsidP="003E2EBE">
      <w:pPr>
        <w:pStyle w:val="af1"/>
        <w:rPr>
          <w:spacing w:val="-2"/>
        </w:rPr>
      </w:pPr>
      <w:r w:rsidRPr="005E274A">
        <w:rPr>
          <w:spacing w:val="-2"/>
        </w:rPr>
        <w:t>Эффективное формирование результатов процессов распределенной обр</w:t>
      </w:r>
      <w:r w:rsidRPr="005E274A">
        <w:rPr>
          <w:spacing w:val="-2"/>
        </w:rPr>
        <w:t>а</w:t>
      </w:r>
      <w:r w:rsidRPr="005E274A">
        <w:rPr>
          <w:spacing w:val="-2"/>
        </w:rPr>
        <w:t>ботки данных к установленному сроку в значительной степени зависит от состо</w:t>
      </w:r>
      <w:r w:rsidRPr="005E274A">
        <w:rPr>
          <w:spacing w:val="-2"/>
        </w:rPr>
        <w:t>я</w:t>
      </w:r>
      <w:r w:rsidRPr="005E274A">
        <w:rPr>
          <w:spacing w:val="-2"/>
        </w:rPr>
        <w:t xml:space="preserve">ния уровней доступа его участников к ресурсам ИАИС. </w:t>
      </w:r>
      <w:proofErr w:type="gramStart"/>
      <w:r w:rsidRPr="005E274A">
        <w:rPr>
          <w:spacing w:val="-2"/>
        </w:rPr>
        <w:t>Если в период времени выполнения определенных операций (ввод данных учебных планов, обработка сведений рабочих программ, ввод данных семестровой успеваемости и др.) у к</w:t>
      </w:r>
      <w:r w:rsidRPr="005E274A">
        <w:rPr>
          <w:spacing w:val="-2"/>
        </w:rPr>
        <w:t>а</w:t>
      </w:r>
      <w:r w:rsidRPr="005E274A">
        <w:rPr>
          <w:spacing w:val="-2"/>
        </w:rPr>
        <w:t>кого-то пользователя блокируются права доступа (истечение срока трудового д</w:t>
      </w:r>
      <w:r w:rsidRPr="005E274A">
        <w:rPr>
          <w:spacing w:val="-2"/>
        </w:rPr>
        <w:t>о</w:t>
      </w:r>
      <w:r w:rsidRPr="005E274A">
        <w:rPr>
          <w:spacing w:val="-2"/>
        </w:rPr>
        <w:t>говора, изменение должностного статуса и т.п.), а в соответствующем подразд</w:t>
      </w:r>
      <w:r w:rsidRPr="005E274A">
        <w:rPr>
          <w:spacing w:val="-2"/>
        </w:rPr>
        <w:t>е</w:t>
      </w:r>
      <w:r w:rsidRPr="005E274A">
        <w:rPr>
          <w:spacing w:val="-2"/>
        </w:rPr>
        <w:t>лении вуза своевременно не оформлены правовые полномочия другого польз</w:t>
      </w:r>
      <w:r w:rsidRPr="005E274A">
        <w:rPr>
          <w:spacing w:val="-2"/>
        </w:rPr>
        <w:t>о</w:t>
      </w:r>
      <w:r w:rsidRPr="005E274A">
        <w:rPr>
          <w:spacing w:val="-2"/>
        </w:rPr>
        <w:t>вателя, то возможен срыв выполнения в срок операции обработки данных, далее – всего</w:t>
      </w:r>
      <w:proofErr w:type="gramEnd"/>
      <w:r w:rsidRPr="005E274A">
        <w:rPr>
          <w:spacing w:val="-2"/>
        </w:rPr>
        <w:t xml:space="preserve"> процесса. Автоматизированная система должна иметь знания о кадровом (договорном) состоянии каждого пользователя, его правах, производимых де</w:t>
      </w:r>
      <w:r w:rsidRPr="005E274A">
        <w:rPr>
          <w:spacing w:val="-2"/>
        </w:rPr>
        <w:t>й</w:t>
      </w:r>
      <w:r w:rsidRPr="005E274A">
        <w:rPr>
          <w:spacing w:val="-2"/>
        </w:rPr>
        <w:lastRenderedPageBreak/>
        <w:t>ствиях, адекватно реагировать на все изменения. Поэтому решение задачи управления контингентом персонала ИАИС является одной из главных задач для системы и обеспечивается совокупностью различных методов, технологий и средств.</w:t>
      </w:r>
    </w:p>
    <w:p w:rsidR="003E2EBE" w:rsidRPr="006502D0" w:rsidRDefault="003E2EBE" w:rsidP="003E2EBE">
      <w:pPr>
        <w:pStyle w:val="af1"/>
        <w:rPr>
          <w:bCs/>
        </w:rPr>
      </w:pPr>
      <w:r w:rsidRPr="006502D0">
        <w:t>В рамках корпоративной автоматизированной системы реализуется единая политика управления составом и правами доступа пользователей, оформле</w:t>
      </w:r>
      <w:r w:rsidRPr="006502D0">
        <w:t>н</w:t>
      </w:r>
      <w:r w:rsidRPr="006502D0">
        <w:t xml:space="preserve">ная, как </w:t>
      </w:r>
      <w:r w:rsidRPr="006502D0">
        <w:rPr>
          <w:bCs/>
        </w:rPr>
        <w:t xml:space="preserve">правило, в виде отдельной функциональной подсистемы. Реализация такой подсистемы требует проектирования состава всех обеспечивающих </w:t>
      </w:r>
      <w:r w:rsidRPr="006502D0">
        <w:t xml:space="preserve">ее </w:t>
      </w:r>
      <w:r w:rsidRPr="006502D0">
        <w:rPr>
          <w:bCs/>
        </w:rPr>
        <w:t>компонентов. В состав элементов подсистемы управления правами доступа пользователей ИАС ОГУ входят</w:t>
      </w:r>
      <w:r>
        <w:rPr>
          <w:bCs/>
        </w:rPr>
        <w:t>: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о</w:t>
      </w:r>
      <w:r w:rsidRPr="006502D0">
        <w:t>рганизационное обеспечение: утвержденный ректором регламент упра</w:t>
      </w:r>
      <w:r w:rsidRPr="006502D0">
        <w:t>в</w:t>
      </w:r>
      <w:r w:rsidRPr="006502D0">
        <w:t>ления доступом пользователей к ресурсам ИАС ОГУ; служебные записки руководителей подразделений о предоставлении прав доступа для с</w:t>
      </w:r>
      <w:r w:rsidRPr="006502D0">
        <w:t>о</w:t>
      </w:r>
      <w:r w:rsidRPr="006502D0">
        <w:t>трудников; приказы по университету о правах доступа к подсистемам ИАС ОГУ и др</w:t>
      </w:r>
      <w:r>
        <w:t>.;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п</w:t>
      </w:r>
      <w:r w:rsidRPr="006502D0">
        <w:t>равовое обеспечение: государственные законы; распоряжения вышест</w:t>
      </w:r>
      <w:r w:rsidRPr="006502D0">
        <w:t>о</w:t>
      </w:r>
      <w:r w:rsidRPr="006502D0">
        <w:t>ящих организаций; локальные акты ОГУ, касающиеся вопросов защиты данных и др</w:t>
      </w:r>
      <w:r>
        <w:t>.;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т</w:t>
      </w:r>
      <w:r w:rsidRPr="006502D0">
        <w:t>ехническое обеспечение: серверное оборудование (сервер базы данных, веб-сервер); персональные компьютеры пользователей; оборудование для создания и ввода в систему фотографий пользователей и др</w:t>
      </w:r>
      <w:r>
        <w:t>.;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proofErr w:type="gramStart"/>
      <w:r>
        <w:t>п</w:t>
      </w:r>
      <w:r w:rsidRPr="006502D0">
        <w:t>рограммное обеспечение: программная система (ПС) отслеживания ка</w:t>
      </w:r>
      <w:r w:rsidRPr="006502D0">
        <w:t>д</w:t>
      </w:r>
      <w:r w:rsidRPr="006502D0">
        <w:t>рового статуса работников вуза; программные модули (ПМ) ряда ПС, о</w:t>
      </w:r>
      <w:r w:rsidRPr="006502D0">
        <w:t>т</w:t>
      </w:r>
      <w:r w:rsidRPr="006502D0">
        <w:t>слеживающие состояние внешних пользователей системы; ПС регистр</w:t>
      </w:r>
      <w:r w:rsidRPr="006502D0">
        <w:t>а</w:t>
      </w:r>
      <w:r w:rsidRPr="006502D0">
        <w:t>ции пользователей, назначения или блокирования прав доступа и т.п.; ПМ собственной системы безопасности ИАС ОГУ, реализованные на уровне интегрированной базы данных; ПМ для регистрации входов (выходов) субъектов доступа в систему (из системы);</w:t>
      </w:r>
      <w:proofErr w:type="gramEnd"/>
      <w:r w:rsidRPr="006502D0">
        <w:t xml:space="preserve"> стандартные процедуры СУБД </w:t>
      </w:r>
      <w:r w:rsidRPr="006502D0">
        <w:rPr>
          <w:lang w:val="en-US"/>
        </w:rPr>
        <w:t>Oracle</w:t>
      </w:r>
      <w:r>
        <w:t>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и</w:t>
      </w:r>
      <w:r w:rsidRPr="006502D0">
        <w:t>нформационное обеспечение: модели, объекты интегрированной базы данных для реализации собственной системы безопасности ИАС ОГУ, поддержки стандартных процедур защиты данных</w:t>
      </w:r>
      <w:r>
        <w:t>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м</w:t>
      </w:r>
      <w:r w:rsidRPr="006502D0">
        <w:t>атематическое обеспечение: модели, алгоритмы, правила системы бе</w:t>
      </w:r>
      <w:r w:rsidRPr="006502D0">
        <w:t>з</w:t>
      </w:r>
      <w:r w:rsidRPr="006502D0">
        <w:t>опасности ИАС ОГУ</w:t>
      </w:r>
      <w:r>
        <w:t>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л</w:t>
      </w:r>
      <w:r w:rsidRPr="006502D0">
        <w:t xml:space="preserve">ингвистическое обеспечение: </w:t>
      </w:r>
      <w:r w:rsidRPr="006502D0">
        <w:rPr>
          <w:lang w:val="en-US"/>
        </w:rPr>
        <w:t>Pl</w:t>
      </w:r>
      <w:r w:rsidRPr="006502D0">
        <w:t>/</w:t>
      </w:r>
      <w:r w:rsidRPr="006502D0">
        <w:rPr>
          <w:lang w:val="en-US"/>
        </w:rPr>
        <w:t>SQL</w:t>
      </w:r>
      <w:r w:rsidRPr="006502D0">
        <w:t xml:space="preserve">, </w:t>
      </w:r>
      <w:r w:rsidRPr="006502D0">
        <w:rPr>
          <w:lang w:val="en-US"/>
        </w:rPr>
        <w:t>Object</w:t>
      </w:r>
      <w:r w:rsidRPr="006502D0">
        <w:t xml:space="preserve"> </w:t>
      </w:r>
      <w:r w:rsidRPr="006502D0">
        <w:rPr>
          <w:lang w:val="en-US"/>
        </w:rPr>
        <w:t>Pascal</w:t>
      </w:r>
      <w:r>
        <w:t>;</w:t>
      </w:r>
    </w:p>
    <w:p w:rsidR="003E2EBE" w:rsidRPr="006502D0" w:rsidRDefault="003E2EBE" w:rsidP="003E2EBE">
      <w:pPr>
        <w:pStyle w:val="afffff1"/>
        <w:numPr>
          <w:ilvl w:val="0"/>
          <w:numId w:val="41"/>
        </w:numPr>
      </w:pPr>
      <w:r>
        <w:t>т</w:t>
      </w:r>
      <w:r w:rsidRPr="006502D0">
        <w:t>ехнологическое обеспечение: технология отслеживания состава польз</w:t>
      </w:r>
      <w:r w:rsidRPr="006502D0">
        <w:t>о</w:t>
      </w:r>
      <w:r w:rsidRPr="006502D0">
        <w:t>вателей системы, регламент предоставления/отъема прав доступа к инт</w:t>
      </w:r>
      <w:r w:rsidRPr="006502D0">
        <w:t>е</w:t>
      </w:r>
      <w:r w:rsidRPr="006502D0">
        <w:t>грированной базе данных; регламенты работы с ПС и др.</w:t>
      </w:r>
    </w:p>
    <w:p w:rsidR="003E2EBE" w:rsidRDefault="003E2EBE" w:rsidP="003E2EBE">
      <w:pPr>
        <w:pStyle w:val="af1"/>
      </w:pPr>
      <w:r w:rsidRPr="006502D0">
        <w:t>Первоначально управление правами доступа пользователей в рамках пр</w:t>
      </w:r>
      <w:r w:rsidRPr="006502D0">
        <w:t>о</w:t>
      </w:r>
      <w:r w:rsidRPr="006502D0">
        <w:t xml:space="preserve">екта </w:t>
      </w:r>
      <w:r w:rsidRPr="006502D0">
        <w:rPr>
          <w:bCs/>
        </w:rPr>
        <w:t xml:space="preserve">ИАС ОГУ осуществлялось стандартными средствами СУБД </w:t>
      </w:r>
      <w:proofErr w:type="spellStart"/>
      <w:r w:rsidRPr="006502D0">
        <w:rPr>
          <w:bCs/>
        </w:rPr>
        <w:t>Oracle</w:t>
      </w:r>
      <w:proofErr w:type="spellEnd"/>
      <w:r w:rsidRPr="006502D0">
        <w:rPr>
          <w:bCs/>
        </w:rPr>
        <w:t xml:space="preserve"> вру</w:t>
      </w:r>
      <w:r w:rsidRPr="006502D0">
        <w:rPr>
          <w:bCs/>
        </w:rPr>
        <w:t>ч</w:t>
      </w:r>
      <w:r w:rsidRPr="006502D0">
        <w:rPr>
          <w:bCs/>
        </w:rPr>
        <w:t>ную. Рост функциональной составляющей системы и количества пользователей привел к</w:t>
      </w:r>
      <w:r w:rsidRPr="006502D0">
        <w:t xml:space="preserve"> необходимости автоматизации функций регистрации пользователей, анализа их </w:t>
      </w:r>
      <w:r w:rsidRPr="006502D0">
        <w:rPr>
          <w:bCs/>
        </w:rPr>
        <w:t>текущего состояния, назначения или блокирования прав доступа. Такая возможность появилась после успешного внедрения программных систем ИАС ОГУ, средства которых позволили поддерживать в интегрированной базе данных актуальные сведения об организационно-кадровой структуре и состо</w:t>
      </w:r>
      <w:r w:rsidRPr="006502D0">
        <w:rPr>
          <w:bCs/>
        </w:rPr>
        <w:t>я</w:t>
      </w:r>
      <w:r w:rsidRPr="006502D0">
        <w:rPr>
          <w:bCs/>
        </w:rPr>
        <w:t>нии контингента работников университета. Проведены работы по унификации механизмов управления доступом пользователей для всех программных систем ИАС ОГУ, разработаны собственные</w:t>
      </w:r>
      <w:r w:rsidRPr="006502D0">
        <w:t xml:space="preserve"> модули, которые совместно со стандар</w:t>
      </w:r>
      <w:r w:rsidRPr="006502D0">
        <w:t>т</w:t>
      </w:r>
      <w:r w:rsidRPr="006502D0">
        <w:t xml:space="preserve">ными средствами СУБД </w:t>
      </w:r>
      <w:proofErr w:type="spellStart"/>
      <w:r w:rsidRPr="006502D0">
        <w:t>Oracle</w:t>
      </w:r>
      <w:proofErr w:type="spellEnd"/>
      <w:r w:rsidRPr="006502D0">
        <w:t xml:space="preserve"> позволили реализовывать разграничение прав доступа к сведениям интегрированной базы данных </w:t>
      </w:r>
      <w:proofErr w:type="gramStart"/>
      <w:r w:rsidRPr="006502D0">
        <w:t>на</w:t>
      </w:r>
      <w:proofErr w:type="gramEnd"/>
      <w:r w:rsidRPr="006502D0">
        <w:t xml:space="preserve"> </w:t>
      </w:r>
      <w:proofErr w:type="gramStart"/>
      <w:r w:rsidRPr="006502D0">
        <w:t>низком</w:t>
      </w:r>
      <w:proofErr w:type="gramEnd"/>
      <w:r w:rsidRPr="006502D0">
        <w:t xml:space="preserve"> уровне (рис</w:t>
      </w:r>
      <w:r>
        <w:t>.</w:t>
      </w:r>
      <w:r w:rsidRPr="006502D0">
        <w:t xml:space="preserve"> 1). Для </w:t>
      </w:r>
      <w:r w:rsidRPr="006502D0">
        <w:rPr>
          <w:bCs/>
        </w:rPr>
        <w:t>разграничения прав доступа и анализа действий пользователей использ</w:t>
      </w:r>
      <w:r w:rsidRPr="006502D0">
        <w:rPr>
          <w:bCs/>
        </w:rPr>
        <w:t>у</w:t>
      </w:r>
      <w:r w:rsidRPr="006502D0">
        <w:rPr>
          <w:bCs/>
        </w:rPr>
        <w:t>ются представления (</w:t>
      </w:r>
      <w:r w:rsidRPr="006502D0">
        <w:rPr>
          <w:bCs/>
          <w:lang w:val="en-US"/>
        </w:rPr>
        <w:t>views</w:t>
      </w:r>
      <w:r w:rsidRPr="006502D0">
        <w:rPr>
          <w:bCs/>
        </w:rPr>
        <w:t>), пакеты (</w:t>
      </w:r>
      <w:r w:rsidRPr="006502D0">
        <w:rPr>
          <w:bCs/>
          <w:lang w:val="en-US"/>
        </w:rPr>
        <w:t>packages</w:t>
      </w:r>
      <w:r w:rsidRPr="006502D0">
        <w:rPr>
          <w:bCs/>
        </w:rPr>
        <w:t>), специально разработанные а</w:t>
      </w:r>
      <w:r w:rsidRPr="006502D0">
        <w:rPr>
          <w:bCs/>
        </w:rPr>
        <w:t>л</w:t>
      </w:r>
      <w:r w:rsidRPr="006502D0">
        <w:rPr>
          <w:bCs/>
        </w:rPr>
        <w:lastRenderedPageBreak/>
        <w:t>горитмы, данные, получаемые средствами собственной функциональной по</w:t>
      </w:r>
      <w:r w:rsidRPr="006502D0">
        <w:rPr>
          <w:bCs/>
        </w:rPr>
        <w:t>д</w:t>
      </w:r>
      <w:r w:rsidRPr="006502D0">
        <w:rPr>
          <w:bCs/>
        </w:rPr>
        <w:t>системы управления доступом, входящей в состав ИАС ОГУ</w:t>
      </w:r>
      <w:r w:rsidRPr="006502D0">
        <w:t>.</w:t>
      </w:r>
    </w:p>
    <w:p w:rsidR="003E2EBE" w:rsidRPr="006502D0" w:rsidRDefault="003E2EBE" w:rsidP="003E2EBE">
      <w:pPr>
        <w:pStyle w:val="af1"/>
      </w:pPr>
    </w:p>
    <w:p w:rsidR="003E2EBE" w:rsidRPr="006502D0" w:rsidRDefault="003E2EBE" w:rsidP="003E2EBE">
      <w:pPr>
        <w:pStyle w:val="af1"/>
        <w:ind w:firstLine="0"/>
        <w:rPr>
          <w:bCs/>
        </w:rPr>
      </w:pPr>
      <w:r>
        <w:rPr>
          <w:bCs/>
        </w:rPr>
      </w:r>
      <w:r>
        <w:rPr>
          <w:bCs/>
        </w:rPr>
        <w:pict>
          <v:group id="_x0000_s7577" style="width:413.25pt;height:285.6pt;mso-position-horizontal-relative:char;mso-position-vertical-relative:line" coordorigin="2214,1314" coordsize="7980,5940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7578" type="#_x0000_t96" style="position:absolute;left:2641;top:2511;width:328;height:335"/>
            <v:line id="_x0000_s7579" style="position:absolute" from="3141,4126" to="3798,4127">
              <v:stroke endarrow="block"/>
            </v:line>
            <v:line id="_x0000_s7580" style="position:absolute" from="3790,2024" to="3790,604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581" type="#_x0000_t202" style="position:absolute;left:3126;top:1314;width:1311;height:540" stroked="f">
              <v:textbox style="mso-next-textbox:#_x0000_s7581">
                <w:txbxContent>
                  <w:p w:rsidR="003E2EBE" w:rsidRPr="004A35C2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A35C2">
                      <w:rPr>
                        <w:rFonts w:ascii="Arial" w:hAnsi="Arial" w:cs="Arial"/>
                        <w:sz w:val="16"/>
                        <w:szCs w:val="16"/>
                      </w:rPr>
                      <w:t>База данных ИАС ОГУ</w:t>
                    </w:r>
                  </w:p>
                </w:txbxContent>
              </v:textbox>
            </v:shape>
            <v:shape id="_x0000_s7582" type="#_x0000_t202" style="position:absolute;left:3954;top:3689;width:1478;height:1015">
              <v:textbox style="mso-next-textbox:#_x0000_s7582">
                <w:txbxContent>
                  <w:p w:rsidR="003E2EBE" w:rsidRPr="00725E3B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25E3B">
                      <w:rPr>
                        <w:rFonts w:ascii="Arial" w:hAnsi="Arial" w:cs="Arial"/>
                        <w:sz w:val="16"/>
                        <w:szCs w:val="16"/>
                      </w:rPr>
                      <w:t>Процедура идентификац</w:t>
                    </w:r>
                    <w:proofErr w:type="gramStart"/>
                    <w:r w:rsidRPr="00725E3B">
                      <w:rPr>
                        <w:rFonts w:ascii="Arial" w:hAnsi="Arial" w:cs="Arial"/>
                        <w:sz w:val="16"/>
                        <w:szCs w:val="16"/>
                      </w:rPr>
                      <w:t>ии и ау</w:t>
                    </w:r>
                    <w:proofErr w:type="gramEnd"/>
                    <w:r w:rsidRPr="00725E3B">
                      <w:rPr>
                        <w:rFonts w:ascii="Arial" w:hAnsi="Arial" w:cs="Arial"/>
                        <w:sz w:val="16"/>
                        <w:szCs w:val="16"/>
                      </w:rPr>
                      <w:t>тентифик</w:t>
                    </w:r>
                    <w:r w:rsidRPr="00725E3B">
                      <w:rPr>
                        <w:rFonts w:ascii="Arial" w:hAnsi="Arial" w:cs="Arial"/>
                        <w:sz w:val="16"/>
                        <w:szCs w:val="16"/>
                      </w:rPr>
                      <w:t>а</w:t>
                    </w:r>
                    <w:r w:rsidRPr="00725E3B">
                      <w:rPr>
                        <w:rFonts w:ascii="Arial" w:hAnsi="Arial" w:cs="Arial"/>
                        <w:sz w:val="16"/>
                        <w:szCs w:val="16"/>
                      </w:rPr>
                      <w:t>ции</w:t>
                    </w:r>
                  </w:p>
                </w:txbxContent>
              </v:textbox>
            </v:shape>
            <v:shape id="_x0000_s7583" type="#_x0000_t202" style="position:absolute;left:3954;top:5709;width:1642;height:1545" stroked="f">
              <v:textbox style="mso-next-textbox:#_x0000_s7583">
                <w:txbxContent>
                  <w:p w:rsidR="003E2EBE" w:rsidRPr="00CA4A06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Установление подлинности субъекта доступа стандартными средствами 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Oracle</w:t>
                    </w:r>
                  </w:p>
                </w:txbxContent>
              </v:textbox>
            </v:shape>
            <v:line id="_x0000_s7584" style="position:absolute;flip:x" from="3134,3783" to="3954,3784">
              <v:stroke endarrow="block"/>
            </v:line>
            <v:shape id="_x0000_s7585" type="#_x0000_t202" style="position:absolute;left:5761;top:3275;width:1477;height:1015">
              <v:textbox style="mso-next-textbox:#_x0000_s7585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Установление системных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и объектных привилегий</w:t>
                    </w:r>
                  </w:p>
                </w:txbxContent>
              </v:textbox>
            </v:shape>
            <v:line id="_x0000_s7586" style="position:absolute" from="5596,2024" to="5596,6044">
              <v:stroke dashstyle="dash"/>
            </v:line>
            <v:line id="_x0000_s7587" style="position:absolute" from="5432,3866" to="5761,3867">
              <v:stroke endarrow="block"/>
            </v:line>
            <v:line id="_x0000_s7588" style="position:absolute;flip:x" from="3134,3423" to="5761,3424">
              <v:stroke endarrow="block"/>
            </v:line>
            <v:shape id="_x0000_s7589" type="#_x0000_t202" style="position:absolute;left:5679;top:5709;width:1642;height:1365" stroked="f">
              <v:textbox style="mso-next-textbox:#_x0000_s7589">
                <w:txbxContent>
                  <w:p w:rsidR="003E2EBE" w:rsidRPr="000624E6" w:rsidRDefault="003E2EBE" w:rsidP="003E2E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Установление полномочий суб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ъ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екта доступа стандартными средствами 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Oracle</w:t>
                    </w:r>
                  </w:p>
                </w:txbxContent>
              </v:textbox>
            </v:shape>
            <v:line id="_x0000_s7590" style="position:absolute" from="7402,2024" to="7403,6044">
              <v:stroke dashstyle="dash"/>
            </v:line>
            <v:shape id="_x0000_s7591" type="#_x0000_t202" style="position:absolute;left:7494;top:5709;width:1642;height:1185" stroked="f">
              <v:textbox style="mso-next-textbox:#_x0000_s7591">
                <w:txbxContent>
                  <w:p w:rsidR="003E2EBE" w:rsidRPr="000624E6" w:rsidRDefault="003E2EBE" w:rsidP="003E2EB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Установление низкоуровневых привилегий дост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у</w:t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па к объектам БД</w:t>
                    </w:r>
                  </w:p>
                </w:txbxContent>
              </v:textbox>
            </v:shape>
            <v:shape id="_x0000_s7592" type="#_x0000_t202" style="position:absolute;left:7567;top:4546;width:1478;height:908" fillcolor="#cfc">
              <v:textbox style="mso-next-textbox:#_x0000_s7592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Система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безопасности ИАС ОГУ</w:t>
                    </w:r>
                  </w:p>
                </w:txbxContent>
              </v:textbox>
            </v:shape>
            <v:oval id="_x0000_s7593" style="position:absolute;left:8506;top:2945;width:986;height:1005" fillcolor="#cfc"/>
            <v:shape id="_x0000_s7594" type="#_x0000_t202" style="position:absolute;left:8446;top:3278;width:980;height:503" stroked="f">
              <v:fill opacity="0"/>
              <v:textbox style="mso-next-textbox:#_x0000_s7594" inset=",0,0,0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Пред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proofErr w:type="spellStart"/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ставления</w:t>
                    </w:r>
                    <w:proofErr w:type="spellEnd"/>
                    <w:proofErr w:type="gramEnd"/>
                  </w:p>
                </w:txbxContent>
              </v:textbox>
            </v:shape>
            <v:oval id="_x0000_s7595" style="position:absolute;left:9209;top:2610;width:985;height:1005" fillcolor="#cfc"/>
            <v:shape id="_x0000_s7596" type="#_x0000_t202" style="position:absolute;left:9327;top:2945;width:821;height:335" stroked="f">
              <v:fill opacity="0"/>
              <v:textbox style="mso-next-textbox:#_x0000_s7596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Пакеты</w:t>
                    </w:r>
                  </w:p>
                </w:txbxContent>
              </v:textbox>
            </v:shape>
            <v:oval id="_x0000_s7597" style="position:absolute;left:8142;top:2275;width:985;height:1005" fillcolor="#cfc"/>
            <v:oval id="_x0000_s7598" style="position:absolute;left:8853;top:1856;width:985;height:1005" fillcolor="#cfc"/>
            <v:shape id="_x0000_s7599" type="#_x0000_t202" style="position:absolute;left:8764;top:2191;width:1149;height:335" stroked="f">
              <v:fill opacity="0"/>
              <v:textbox style="mso-next-textbox:#_x0000_s7599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Процедуры</w:t>
                    </w:r>
                  </w:p>
                </w:txbxContent>
              </v:textbox>
            </v:shape>
            <v:shape id="_x0000_s7600" type="#_x0000_t202" style="position:absolute;left:8116;top:2601;width:985;height:335" stroked="f">
              <v:fill opacity="0"/>
              <v:textbox style="mso-next-textbox:#_x0000_s7600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Функции</w:t>
                    </w:r>
                  </w:p>
                </w:txbxContent>
              </v:textbox>
            </v:shape>
            <v:line id="_x0000_s7601" style="position:absolute;flip:x" from="3134,2694" to="8059,2695">
              <v:stroke endarrow="block"/>
            </v:line>
            <v:shape id="_x0000_s7602" type="#_x0000_t202" style="position:absolute;left:4119;top:2034;width:1149;height:325;v-text-anchor:middle">
              <v:textbox style="mso-next-textbox:#_x0000_s7602" inset=",0,,0">
                <w:txbxContent>
                  <w:p w:rsidR="003E2EBE" w:rsidRPr="000624E6" w:rsidRDefault="003E2EBE" w:rsidP="003E2EBE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624E6">
                      <w:rPr>
                        <w:rFonts w:ascii="Arial" w:hAnsi="Arial" w:cs="Arial"/>
                        <w:sz w:val="16"/>
                        <w:szCs w:val="16"/>
                      </w:rPr>
                      <w:t>Аудит</w:t>
                    </w:r>
                  </w:p>
                </w:txbxContent>
              </v:textbox>
            </v:shape>
            <v:line id="_x0000_s7603" style="position:absolute" from="4611,2359" to="4612,2694">
              <v:stroke endarrow="block"/>
            </v:line>
            <v:line id="_x0000_s7604" style="position:absolute;flip:y" from="4775,2359" to="4776,2694">
              <v:stroke endarrow="block"/>
            </v:line>
            <v:line id="_x0000_s7605" style="position:absolute;flip:x" from="3134,3066" to="8059,3067">
              <v:stroke endarrow="block"/>
            </v:line>
            <v:shape id="_x0000_s7606" type="#_x0000_t96" style="position:absolute;left:2641;top:3971;width:328;height:335"/>
            <v:line id="_x0000_s7607" style="position:absolute" from="7238,3434" to="7731,3434"/>
            <v:line id="_x0000_s7608" style="position:absolute" from="7939,3431" to="8432,3432">
              <v:stroke endarrow="block"/>
            </v:line>
            <v:line id="_x0000_s7609" style="position:absolute" from="7731,3436" to="7735,4553">
              <v:stroke endarrow="block"/>
            </v:line>
            <v:line id="_x0000_s7610" style="position:absolute" from="7934,3431" to="7937,4548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7611" type="#_x0000_t75" style="position:absolute;left:2634;top:3241;width:355;height:363">
              <v:imagedata r:id="rId10" o:title=""/>
            </v:shape>
            <v:shape id="_x0000_s7612" type="#_x0000_t75" style="position:absolute;left:2634;top:2874;width:355;height:363">
              <v:imagedata r:id="rId11" o:title=""/>
            </v:shape>
            <v:shape id="_x0000_s7613" type="#_x0000_t75" style="position:absolute;left:2635;top:3606;width:356;height:363">
              <v:imagedata r:id="rId11" o:title=""/>
            </v:shape>
            <v:shape id="_x0000_s7614" type="#_x0000_t202" style="position:absolute;left:2214;top:3948;width:328;height:307" stroked="f">
              <v:textbox style="mso-next-textbox:#_x0000_s7614">
                <w:txbxContent>
                  <w:p w:rsidR="003E2EBE" w:rsidRPr="004A35C2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4A35C2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7615" type="#_x0000_t202" style="position:absolute;left:2214;top:3606;width:328;height:307" stroked="f">
              <v:textbox style="mso-next-textbox:#_x0000_s7615">
                <w:txbxContent>
                  <w:p w:rsidR="003E2EBE" w:rsidRPr="002F32A8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622A89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7616" type="#_x0000_t202" style="position:absolute;left:2221;top:3241;width:329;height:307" stroked="f">
              <v:textbox style="mso-next-textbox:#_x0000_s7616">
                <w:txbxContent>
                  <w:p w:rsidR="003E2EBE" w:rsidRPr="00622A89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622A89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7617" type="#_x0000_t202" style="position:absolute;left:2218;top:2891;width:328;height:307" stroked="f">
              <v:textbox style="mso-next-textbox:#_x0000_s7617">
                <w:txbxContent>
                  <w:p w:rsidR="003E2EBE" w:rsidRPr="00622A89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622A89">
                      <w:rPr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  <v:shape id="_x0000_s7618" type="#_x0000_t202" style="position:absolute;left:2225;top:2552;width:328;height:307" stroked="f">
              <v:textbox style="mso-next-textbox:#_x0000_s7618">
                <w:txbxContent>
                  <w:p w:rsidR="003E2EBE" w:rsidRPr="002F32A8" w:rsidRDefault="003E2EBE" w:rsidP="003E2EBE">
                    <w:pPr>
                      <w:rPr>
                        <w:sz w:val="16"/>
                        <w:szCs w:val="16"/>
                      </w:rPr>
                    </w:pPr>
                    <w:r w:rsidRPr="00622A89"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E2EBE" w:rsidRPr="006502D0" w:rsidRDefault="003E2EBE" w:rsidP="003E2EBE">
      <w:pPr>
        <w:pStyle w:val="-3"/>
      </w:pPr>
      <w:r w:rsidRPr="006502D0">
        <w:t>Рис</w:t>
      </w:r>
      <w:r>
        <w:t>.</w:t>
      </w:r>
      <w:r w:rsidRPr="006502D0">
        <w:t xml:space="preserve"> 1</w:t>
      </w:r>
      <w:r>
        <w:t xml:space="preserve">. </w:t>
      </w:r>
      <w:r w:rsidRPr="006502D0">
        <w:t>Схема проверки прав доступа пользователей ИАС ОГУ</w:t>
      </w:r>
    </w:p>
    <w:p w:rsidR="003E2EBE" w:rsidRPr="006502D0" w:rsidRDefault="003E2EBE" w:rsidP="003E2EBE">
      <w:pPr>
        <w:pStyle w:val="af1"/>
        <w:rPr>
          <w:bCs/>
        </w:rPr>
      </w:pPr>
    </w:p>
    <w:p w:rsidR="003E2EBE" w:rsidRDefault="003E2EBE" w:rsidP="003E2EBE">
      <w:pPr>
        <w:pStyle w:val="af1"/>
        <w:rPr>
          <w:bCs/>
        </w:rPr>
      </w:pPr>
      <w:proofErr w:type="gramStart"/>
      <w:r w:rsidRPr="006502D0">
        <w:rPr>
          <w:bCs/>
        </w:rPr>
        <w:t xml:space="preserve">Функциональная подсистема </w:t>
      </w:r>
      <w:r w:rsidRPr="006502D0">
        <w:t>управления правами доступа пользователей</w:t>
      </w:r>
      <w:r w:rsidRPr="006502D0">
        <w:rPr>
          <w:bCs/>
        </w:rPr>
        <w:t xml:space="preserve"> позволяет автоматизировать выполнение следующих действий: закрепление логина пользов</w:t>
      </w:r>
      <w:r>
        <w:rPr>
          <w:bCs/>
        </w:rPr>
        <w:t>ателя за определенным работником</w:t>
      </w:r>
      <w:r w:rsidRPr="006502D0">
        <w:rPr>
          <w:bCs/>
        </w:rPr>
        <w:t xml:space="preserve"> (регистрация пользоват</w:t>
      </w:r>
      <w:r w:rsidRPr="006502D0">
        <w:rPr>
          <w:bCs/>
        </w:rPr>
        <w:t>е</w:t>
      </w:r>
      <w:r w:rsidRPr="006502D0">
        <w:rPr>
          <w:bCs/>
        </w:rPr>
        <w:t>ля), формирование и сохранение его пароля; назначение легитимному польз</w:t>
      </w:r>
      <w:r w:rsidRPr="006502D0">
        <w:rPr>
          <w:bCs/>
        </w:rPr>
        <w:t>о</w:t>
      </w:r>
      <w:r w:rsidRPr="006502D0">
        <w:rPr>
          <w:bCs/>
        </w:rPr>
        <w:t>вателю прав на выполнение определенных функций в рамках заданного пере</w:t>
      </w:r>
      <w:r w:rsidRPr="006502D0">
        <w:rPr>
          <w:bCs/>
        </w:rPr>
        <w:t>ч</w:t>
      </w:r>
      <w:r w:rsidRPr="006502D0">
        <w:rPr>
          <w:bCs/>
        </w:rPr>
        <w:t>ня программных систем ИАС ОГУ; включение аудита за выполняемыми польз</w:t>
      </w:r>
      <w:r w:rsidRPr="006502D0">
        <w:rPr>
          <w:bCs/>
        </w:rPr>
        <w:t>о</w:t>
      </w:r>
      <w:r w:rsidRPr="006502D0">
        <w:rPr>
          <w:bCs/>
        </w:rPr>
        <w:t>вателем операциями в базе данных; фиксацию сведений об основании выдел</w:t>
      </w:r>
      <w:r w:rsidRPr="006502D0">
        <w:rPr>
          <w:bCs/>
        </w:rPr>
        <w:t>е</w:t>
      </w:r>
      <w:r w:rsidRPr="006502D0">
        <w:rPr>
          <w:bCs/>
        </w:rPr>
        <w:t>ния прав доступа (рис</w:t>
      </w:r>
      <w:r>
        <w:rPr>
          <w:bCs/>
        </w:rPr>
        <w:t>.</w:t>
      </w:r>
      <w:r w:rsidRPr="006502D0">
        <w:rPr>
          <w:bCs/>
        </w:rPr>
        <w:t xml:space="preserve"> 2).</w:t>
      </w:r>
      <w:proofErr w:type="gramEnd"/>
      <w:r w:rsidRPr="006502D0">
        <w:rPr>
          <w:bCs/>
        </w:rPr>
        <w:t xml:space="preserve"> Кроме того</w:t>
      </w:r>
      <w:r>
        <w:rPr>
          <w:bCs/>
        </w:rPr>
        <w:t>,</w:t>
      </w:r>
      <w:r w:rsidRPr="006502D0">
        <w:rPr>
          <w:bCs/>
        </w:rPr>
        <w:t xml:space="preserve"> реализованы сервисы поиска пользов</w:t>
      </w:r>
      <w:r w:rsidRPr="006502D0">
        <w:rPr>
          <w:bCs/>
        </w:rPr>
        <w:t>а</w:t>
      </w:r>
      <w:r w:rsidRPr="006502D0">
        <w:rPr>
          <w:bCs/>
        </w:rPr>
        <w:t>теля по различным критериям, включая перечень доступных ему функций з</w:t>
      </w:r>
      <w:r w:rsidRPr="006502D0">
        <w:rPr>
          <w:bCs/>
        </w:rPr>
        <w:t>а</w:t>
      </w:r>
      <w:r w:rsidRPr="006502D0">
        <w:rPr>
          <w:bCs/>
        </w:rPr>
        <w:t>данных программных систем, просмотра данных пользователя; отслеживания изменений его кадрового статуса (увольнение, изменение должностных обяза</w:t>
      </w:r>
      <w:r w:rsidRPr="006502D0">
        <w:rPr>
          <w:bCs/>
        </w:rPr>
        <w:t>н</w:t>
      </w:r>
      <w:r w:rsidRPr="006502D0">
        <w:rPr>
          <w:bCs/>
        </w:rPr>
        <w:t>ностей, уход в длительные отпуска); блокирования или разблокирования де</w:t>
      </w:r>
      <w:r w:rsidRPr="006502D0">
        <w:rPr>
          <w:bCs/>
        </w:rPr>
        <w:t>й</w:t>
      </w:r>
      <w:r w:rsidRPr="006502D0">
        <w:rPr>
          <w:bCs/>
        </w:rPr>
        <w:t>ствий пользователя, назначения или удаления прав доступа и др.</w:t>
      </w:r>
    </w:p>
    <w:p w:rsidR="003E2EBE" w:rsidRPr="006502D0" w:rsidRDefault="003E2EBE" w:rsidP="003E2EBE">
      <w:pPr>
        <w:pStyle w:val="af1"/>
        <w:rPr>
          <w:bCs/>
        </w:rPr>
      </w:pPr>
      <w:r w:rsidRPr="006502D0">
        <w:rPr>
          <w:bCs/>
          <w:noProof/>
        </w:rPr>
        <w:lastRenderedPageBreak/>
        <w:drawing>
          <wp:inline distT="0" distB="0" distL="0" distR="0" wp14:anchorId="10B351F6" wp14:editId="4A5C0230">
            <wp:extent cx="4533900" cy="3133725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BE" w:rsidRPr="006502D0" w:rsidRDefault="003E2EBE" w:rsidP="003E2EBE">
      <w:pPr>
        <w:pStyle w:val="af1"/>
        <w:rPr>
          <w:bCs/>
        </w:rPr>
      </w:pPr>
    </w:p>
    <w:p w:rsidR="003E2EBE" w:rsidRPr="006502D0" w:rsidRDefault="003E2EBE" w:rsidP="003E2EBE">
      <w:pPr>
        <w:pStyle w:val="-3"/>
        <w:rPr>
          <w:bCs/>
        </w:rPr>
      </w:pPr>
      <w:r w:rsidRPr="006502D0">
        <w:rPr>
          <w:bCs/>
        </w:rPr>
        <w:t>Рис</w:t>
      </w:r>
      <w:r>
        <w:rPr>
          <w:bCs/>
        </w:rPr>
        <w:t>.</w:t>
      </w:r>
      <w:r w:rsidRPr="006502D0">
        <w:rPr>
          <w:bCs/>
        </w:rPr>
        <w:t xml:space="preserve"> 2</w:t>
      </w:r>
      <w:r>
        <w:rPr>
          <w:bCs/>
        </w:rPr>
        <w:t xml:space="preserve">. </w:t>
      </w:r>
      <w:r w:rsidRPr="006502D0">
        <w:rPr>
          <w:bCs/>
        </w:rPr>
        <w:t xml:space="preserve">Интерфейс </w:t>
      </w:r>
      <w:r>
        <w:rPr>
          <w:bCs/>
        </w:rPr>
        <w:t>«С</w:t>
      </w:r>
      <w:r w:rsidRPr="006502D0">
        <w:rPr>
          <w:bCs/>
        </w:rPr>
        <w:t xml:space="preserve">редства </w:t>
      </w:r>
      <w:r w:rsidRPr="006502D0">
        <w:t>управления правами доступа пользователей</w:t>
      </w:r>
      <w:r>
        <w:t>»</w:t>
      </w:r>
    </w:p>
    <w:p w:rsidR="003E2EBE" w:rsidRPr="006502D0" w:rsidRDefault="003E2EBE" w:rsidP="003E2EBE">
      <w:pPr>
        <w:pStyle w:val="af1"/>
        <w:rPr>
          <w:bCs/>
        </w:rPr>
      </w:pPr>
    </w:p>
    <w:p w:rsidR="003E2EBE" w:rsidRPr="006502D0" w:rsidRDefault="003E2EBE" w:rsidP="003E2EBE">
      <w:pPr>
        <w:pStyle w:val="af1"/>
        <w:rPr>
          <w:bCs/>
        </w:rPr>
      </w:pPr>
      <w:r w:rsidRPr="006502D0">
        <w:rPr>
          <w:bCs/>
        </w:rPr>
        <w:t>В целом</w:t>
      </w:r>
      <w:r>
        <w:rPr>
          <w:bCs/>
        </w:rPr>
        <w:t xml:space="preserve"> </w:t>
      </w:r>
      <w:r w:rsidRPr="006502D0">
        <w:rPr>
          <w:bCs/>
        </w:rPr>
        <w:t>автоматизация управления пользователями базы данных ИАИС, их уровнями доступа требует совместного использования различных способов и средств. Один из способов – проведение аудита использования базы данных, позволяющего убедиться, действительно ли механизмы контроля доступа к объектам базы данных работают так, как было задумано администратором б</w:t>
      </w:r>
      <w:r w:rsidRPr="006502D0">
        <w:rPr>
          <w:bCs/>
        </w:rPr>
        <w:t>а</w:t>
      </w:r>
      <w:r w:rsidRPr="006502D0">
        <w:rPr>
          <w:bCs/>
        </w:rPr>
        <w:t xml:space="preserve">зы данных (АБД). Аудит может быть организован средствами СУБД </w:t>
      </w:r>
      <w:r w:rsidRPr="006502D0">
        <w:rPr>
          <w:bCs/>
          <w:lang w:val="en-US"/>
        </w:rPr>
        <w:t>Oracle</w:t>
      </w:r>
      <w:r w:rsidRPr="006502D0">
        <w:rPr>
          <w:bCs/>
        </w:rPr>
        <w:t>. Т</w:t>
      </w:r>
      <w:r w:rsidRPr="006502D0">
        <w:rPr>
          <w:bCs/>
        </w:rPr>
        <w:t>а</w:t>
      </w:r>
      <w:r w:rsidRPr="006502D0">
        <w:rPr>
          <w:bCs/>
        </w:rPr>
        <w:t>кая реализация требует значительных ресурсов сервера (вычислительных, ди</w:t>
      </w:r>
      <w:r w:rsidRPr="006502D0">
        <w:rPr>
          <w:bCs/>
        </w:rPr>
        <w:t>с</w:t>
      </w:r>
      <w:r w:rsidRPr="006502D0">
        <w:rPr>
          <w:bCs/>
        </w:rPr>
        <w:t xml:space="preserve">кового пространства и др.). Достаточно сложным процессом является и сам анализ журнала аудита, формируемого средствами СУБД. В рамках проекта ИАС ОГУ для ведения аудита применяется комбинация стандартных средств СУБД </w:t>
      </w:r>
      <w:proofErr w:type="spellStart"/>
      <w:r w:rsidRPr="006502D0">
        <w:rPr>
          <w:bCs/>
        </w:rPr>
        <w:t>Oracle</w:t>
      </w:r>
      <w:proofErr w:type="spellEnd"/>
      <w:r w:rsidRPr="006502D0">
        <w:rPr>
          <w:bCs/>
        </w:rPr>
        <w:t xml:space="preserve"> 10.2.0.4 и специально разработанных информационно-программных модулей на основе определенных правил обработки данных. АБД с помощью инструментов </w:t>
      </w:r>
      <w:proofErr w:type="spellStart"/>
      <w:r w:rsidRPr="006502D0">
        <w:rPr>
          <w:bCs/>
        </w:rPr>
        <w:t>Oracle</w:t>
      </w:r>
      <w:proofErr w:type="spellEnd"/>
      <w:r w:rsidRPr="006502D0">
        <w:rPr>
          <w:bCs/>
        </w:rPr>
        <w:t xml:space="preserve"> осуществляет аудит подключений сеансов пользователей, а их действия анализирует посредством собственного инстр</w:t>
      </w:r>
      <w:r w:rsidRPr="006502D0">
        <w:rPr>
          <w:bCs/>
        </w:rPr>
        <w:t>у</w:t>
      </w:r>
      <w:r w:rsidRPr="006502D0">
        <w:rPr>
          <w:bCs/>
        </w:rPr>
        <w:t xml:space="preserve">мента, который отслеживает историю значимых изменений данных. При этом в системе сохраняются имя пользователя, время и структура производимых им действий, перечень объектов доступа, вплоть до нижнего, построчного уровня данных. </w:t>
      </w:r>
    </w:p>
    <w:p w:rsidR="003E2EBE" w:rsidRPr="006502D0" w:rsidRDefault="003E2EBE" w:rsidP="003E2EBE">
      <w:pPr>
        <w:pStyle w:val="af1"/>
        <w:rPr>
          <w:bCs/>
        </w:rPr>
      </w:pPr>
      <w:r w:rsidRPr="006502D0">
        <w:rPr>
          <w:bCs/>
        </w:rPr>
        <w:t>Реализованная в рамках ИАС ОГУ технология позволяет осуществлять э</w:t>
      </w:r>
      <w:r w:rsidRPr="006502D0">
        <w:rPr>
          <w:bCs/>
        </w:rPr>
        <w:t>ф</w:t>
      </w:r>
      <w:r w:rsidRPr="006502D0">
        <w:rPr>
          <w:bCs/>
        </w:rPr>
        <w:t>фективное управление пользователями системы.</w:t>
      </w:r>
    </w:p>
    <w:p w:rsidR="003E2EBE" w:rsidRPr="006502D0" w:rsidRDefault="003E2EBE" w:rsidP="003E2EBE">
      <w:pPr>
        <w:pStyle w:val="af1"/>
        <w:rPr>
          <w:b/>
          <w:bCs/>
        </w:rPr>
      </w:pPr>
      <w:r w:rsidRPr="006502D0">
        <w:t xml:space="preserve">Работа выполнена в рамках гранта РФФИ </w:t>
      </w:r>
      <w:r>
        <w:rPr>
          <w:rFonts w:cs="Arial"/>
        </w:rPr>
        <w:t>¹</w:t>
      </w:r>
      <w:r w:rsidRPr="006502D0">
        <w:rPr>
          <w:rFonts w:cs="Classic Russian"/>
        </w:rPr>
        <w:t xml:space="preserve"> 11-07-00046-а</w:t>
      </w:r>
      <w:r w:rsidRPr="006502D0">
        <w:t>.</w:t>
      </w:r>
    </w:p>
    <w:p w:rsidR="003E2EBE" w:rsidRDefault="003E2EBE" w:rsidP="003E2EBE">
      <w:pPr>
        <w:pStyle w:val="af1"/>
      </w:pPr>
    </w:p>
    <w:p w:rsidR="005D5267" w:rsidRPr="003E2EBE" w:rsidRDefault="009B0306" w:rsidP="003E2EBE">
      <w:r w:rsidRPr="003E2EBE">
        <w:t xml:space="preserve"> </w:t>
      </w:r>
    </w:p>
    <w:sectPr w:rsidR="005D5267" w:rsidRPr="003E2EBE" w:rsidSect="009B0306"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76" w:rsidRDefault="00A13576">
      <w:r>
        <w:separator/>
      </w:r>
    </w:p>
  </w:endnote>
  <w:endnote w:type="continuationSeparator" w:id="0">
    <w:p w:rsidR="00A13576" w:rsidRDefault="00A1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E2EB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3E2EB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76" w:rsidRDefault="00A13576">
      <w:r>
        <w:separator/>
      </w:r>
    </w:p>
  </w:footnote>
  <w:footnote w:type="continuationSeparator" w:id="0">
    <w:p w:rsidR="00A13576" w:rsidRDefault="00A1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761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2EBE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576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9" fillcolor="white" stroke="f">
      <v:fill color="white"/>
      <v:stroke on="f"/>
    </o:shapedefaults>
    <o:shapelayout v:ext="edit">
      <o:idmap v:ext="edit" data="1,3,4,5,6,7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D04BC7-7FED-4CC7-ACF8-CEA90DA7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2011-10-05T14:45:00Z</dcterms:created>
  <dcterms:modified xsi:type="dcterms:W3CDTF">2011-10-05T14:45:00Z</dcterms:modified>
</cp:coreProperties>
</file>