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2E" w:rsidRPr="005221E0" w:rsidRDefault="00346C2E" w:rsidP="00346C2E">
      <w:pPr>
        <w:pStyle w:val="11"/>
        <w:rPr>
          <w:b/>
          <w:bCs/>
        </w:rPr>
      </w:pPr>
      <w:bookmarkStart w:id="0" w:name="_Toc304390002"/>
      <w:bookmarkStart w:id="1" w:name="_Toc304390310"/>
      <w:bookmarkStart w:id="2" w:name="_GoBack"/>
      <w:r w:rsidRPr="005221E0">
        <w:t>ИССЛЕДОВАНИЕ КОНКУРЕНЦИИ В СЕТЯХ</w:t>
      </w:r>
      <w:bookmarkEnd w:id="0"/>
      <w:bookmarkEnd w:id="1"/>
      <w:r w:rsidRPr="005221E0">
        <w:rPr>
          <w:b/>
          <w:bCs/>
        </w:rPr>
        <w:t xml:space="preserve"> </w:t>
      </w:r>
    </w:p>
    <w:p w:rsidR="00346C2E" w:rsidRPr="005221E0" w:rsidRDefault="00346C2E" w:rsidP="00346C2E">
      <w:pPr>
        <w:pStyle w:val="22"/>
      </w:pPr>
      <w:bookmarkStart w:id="3" w:name="_Toc304390003"/>
      <w:bookmarkStart w:id="4" w:name="_Toc304390311"/>
      <w:bookmarkEnd w:id="2"/>
      <w:r w:rsidRPr="005221E0">
        <w:t>Н.</w:t>
      </w:r>
      <w:r>
        <w:t xml:space="preserve"> </w:t>
      </w:r>
      <w:r w:rsidRPr="005221E0">
        <w:t>В. Плаксина</w:t>
      </w:r>
      <w:bookmarkEnd w:id="3"/>
      <w:bookmarkEnd w:id="4"/>
      <w:r>
        <w:fldChar w:fldCharType="begin"/>
      </w:r>
      <w:r>
        <w:instrText xml:space="preserve"> XE "</w:instrText>
      </w:r>
      <w:r w:rsidRPr="0045579E">
        <w:instrText>Плаксина</w:instrText>
      </w:r>
      <w:r w:rsidRPr="005221E0">
        <w:instrText xml:space="preserve"> </w:instrText>
      </w:r>
      <w:r w:rsidRPr="0045579E">
        <w:instrText xml:space="preserve">Н. </w:instrText>
      </w:r>
      <w:r>
        <w:instrText xml:space="preserve">В." </w:instrText>
      </w:r>
      <w:r>
        <w:fldChar w:fldCharType="end"/>
      </w:r>
      <w:r w:rsidRPr="005221E0">
        <w:t xml:space="preserve"> </w:t>
      </w:r>
    </w:p>
    <w:p w:rsidR="00346C2E" w:rsidRPr="005221E0" w:rsidRDefault="00346C2E" w:rsidP="00346C2E">
      <w:pPr>
        <w:pStyle w:val="ad"/>
      </w:pPr>
      <w:r w:rsidRPr="005221E0">
        <w:t>Петрозаводский</w:t>
      </w:r>
      <w:r>
        <w:t xml:space="preserve"> </w:t>
      </w:r>
      <w:r w:rsidRPr="005221E0">
        <w:t>государственный</w:t>
      </w:r>
      <w:r>
        <w:t xml:space="preserve"> </w:t>
      </w:r>
      <w:r w:rsidRPr="005221E0">
        <w:t>университет</w:t>
      </w:r>
      <w:r>
        <w:fldChar w:fldCharType="begin"/>
      </w:r>
      <w:r>
        <w:instrText xml:space="preserve"> XE "</w:instrText>
      </w:r>
      <w:r w:rsidRPr="0045579E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  <w:r w:rsidRPr="005221E0">
        <w:t xml:space="preserve"> </w:t>
      </w:r>
    </w:p>
    <w:p w:rsidR="00346C2E" w:rsidRPr="005221E0" w:rsidRDefault="00346C2E" w:rsidP="00346C2E">
      <w:pPr>
        <w:pStyle w:val="ad"/>
      </w:pPr>
      <w:r w:rsidRPr="005221E0">
        <w:t>Петрозаводск</w:t>
      </w:r>
    </w:p>
    <w:p w:rsidR="00346C2E" w:rsidRPr="005221E0" w:rsidRDefault="00346C2E" w:rsidP="00346C2E">
      <w:pPr>
        <w:pStyle w:val="af"/>
      </w:pPr>
      <w:proofErr w:type="spellStart"/>
      <w:r w:rsidRPr="005221E0">
        <w:rPr>
          <w:lang w:val="en-US"/>
        </w:rPr>
        <w:t>plaksina</w:t>
      </w:r>
      <w:proofErr w:type="spellEnd"/>
      <w:r w:rsidRPr="005221E0">
        <w:t>_</w:t>
      </w:r>
      <w:proofErr w:type="spellStart"/>
      <w:r w:rsidRPr="005221E0">
        <w:rPr>
          <w:lang w:val="en-US"/>
        </w:rPr>
        <w:t>nv</w:t>
      </w:r>
      <w:proofErr w:type="spellEnd"/>
      <w:r w:rsidRPr="005221E0">
        <w:t>@</w:t>
      </w:r>
      <w:r w:rsidRPr="005221E0">
        <w:rPr>
          <w:lang w:val="en-US"/>
        </w:rPr>
        <w:t>mail</w:t>
      </w:r>
      <w:r w:rsidRPr="005221E0">
        <w:t>.</w:t>
      </w:r>
      <w:proofErr w:type="spellStart"/>
      <w:r w:rsidRPr="005221E0">
        <w:rPr>
          <w:lang w:val="en-US"/>
        </w:rPr>
        <w:t>ru</w:t>
      </w:r>
      <w:proofErr w:type="spellEnd"/>
    </w:p>
    <w:p w:rsidR="00346C2E" w:rsidRPr="005221E0" w:rsidRDefault="00346C2E" w:rsidP="00346C2E">
      <w:pPr>
        <w:pStyle w:val="af1"/>
        <w:rPr>
          <w:spacing w:val="-2"/>
        </w:rPr>
      </w:pPr>
      <w:r w:rsidRPr="005221E0">
        <w:rPr>
          <w:spacing w:val="-2"/>
        </w:rPr>
        <w:t>В настоящее время весьма актуально развитие конкуренции в сфере услуг. Это положительно сказывается на качестве предлагаемых услуг. У клиентов п</w:t>
      </w:r>
      <w:r w:rsidRPr="005221E0">
        <w:rPr>
          <w:spacing w:val="-2"/>
        </w:rPr>
        <w:t>о</w:t>
      </w:r>
      <w:r w:rsidRPr="005221E0">
        <w:rPr>
          <w:spacing w:val="-2"/>
        </w:rPr>
        <w:t>является возможность выбора.</w:t>
      </w:r>
    </w:p>
    <w:p w:rsidR="00346C2E" w:rsidRPr="005221E0" w:rsidRDefault="00346C2E" w:rsidP="00346C2E">
      <w:pPr>
        <w:pStyle w:val="af1"/>
        <w:rPr>
          <w:spacing w:val="-2"/>
        </w:rPr>
      </w:pPr>
      <w:r w:rsidRPr="005221E0">
        <w:rPr>
          <w:spacing w:val="-2"/>
        </w:rPr>
        <w:t>В данной работе уделяется внимание проблеме конкуренции сервисов в н</w:t>
      </w:r>
      <w:r w:rsidRPr="005221E0">
        <w:rPr>
          <w:spacing w:val="-2"/>
        </w:rPr>
        <w:t>е</w:t>
      </w:r>
      <w:r w:rsidRPr="005221E0">
        <w:rPr>
          <w:spacing w:val="-2"/>
        </w:rPr>
        <w:t>которой сети. Конкуренция среди сервисов, предлагающих свои услуги, является предметом исследованием ряда работ. Типичная модель, описывающая такую ситуацию,  состоит из двух этапов. Сначала для любого множества цен, устано</w:t>
      </w:r>
      <w:r w:rsidRPr="005221E0">
        <w:rPr>
          <w:spacing w:val="-2"/>
        </w:rPr>
        <w:t>в</w:t>
      </w:r>
      <w:r w:rsidRPr="005221E0">
        <w:rPr>
          <w:spacing w:val="-2"/>
        </w:rPr>
        <w:t>ленных провайдерами, пользователи выбирают сервисы согласно равновесной стратегии. Учитывая эту информацию, провайдеры назначают цены, и равнов</w:t>
      </w:r>
      <w:r w:rsidRPr="005221E0">
        <w:rPr>
          <w:spacing w:val="-2"/>
        </w:rPr>
        <w:t>е</w:t>
      </w:r>
      <w:r w:rsidRPr="005221E0">
        <w:rPr>
          <w:spacing w:val="-2"/>
        </w:rPr>
        <w:t>сие вновь достигается.</w:t>
      </w:r>
    </w:p>
    <w:p w:rsidR="00346C2E" w:rsidRPr="005221E0" w:rsidRDefault="00346C2E" w:rsidP="00346C2E">
      <w:pPr>
        <w:pStyle w:val="af1"/>
        <w:rPr>
          <w:spacing w:val="-2"/>
        </w:rPr>
      </w:pPr>
      <w:r w:rsidRPr="005221E0">
        <w:rPr>
          <w:spacing w:val="-2"/>
        </w:rPr>
        <w:t xml:space="preserve">Целью данной работы является исследование, связанное с возможностью появления конкурирующего провайдера в «системе очередей с дополнительной услугой». </w:t>
      </w:r>
    </w:p>
    <w:p w:rsidR="00346C2E" w:rsidRDefault="00346C2E" w:rsidP="00346C2E">
      <w:pPr>
        <w:pStyle w:val="af1"/>
        <w:rPr>
          <w:spacing w:val="-2"/>
        </w:rPr>
      </w:pPr>
      <w:r w:rsidRPr="005221E0">
        <w:rPr>
          <w:spacing w:val="-2"/>
        </w:rPr>
        <w:t>В качестве примера к задаче можно рассмотреть парковочный сервис. Когда пользователь пр</w:t>
      </w:r>
      <w:r>
        <w:rPr>
          <w:spacing w:val="-2"/>
        </w:rPr>
        <w:t>и</w:t>
      </w:r>
      <w:r w:rsidRPr="005221E0">
        <w:rPr>
          <w:spacing w:val="-2"/>
        </w:rPr>
        <w:t>бывает в систему, чтобы получить сервис, ему необходимо припарковаться на то время</w:t>
      </w:r>
      <w:r>
        <w:rPr>
          <w:spacing w:val="-2"/>
        </w:rPr>
        <w:t>,</w:t>
      </w:r>
      <w:r w:rsidRPr="005221E0">
        <w:rPr>
          <w:spacing w:val="-2"/>
        </w:rPr>
        <w:t xml:space="preserve"> пока он будет пребывать в системе. Затем он выб</w:t>
      </w:r>
      <w:r w:rsidRPr="005221E0">
        <w:rPr>
          <w:spacing w:val="-2"/>
        </w:rPr>
        <w:t>и</w:t>
      </w:r>
      <w:r w:rsidRPr="005221E0">
        <w:rPr>
          <w:spacing w:val="-2"/>
        </w:rPr>
        <w:t>рает сервис и встает в очередь (рис.</w:t>
      </w:r>
      <w:r>
        <w:rPr>
          <w:spacing w:val="-2"/>
        </w:rPr>
        <w:t xml:space="preserve"> </w:t>
      </w:r>
      <w:r w:rsidRPr="005221E0">
        <w:rPr>
          <w:spacing w:val="-2"/>
        </w:rPr>
        <w:t xml:space="preserve">1). </w:t>
      </w:r>
    </w:p>
    <w:p w:rsidR="00346C2E" w:rsidRDefault="00346C2E" w:rsidP="00346C2E">
      <w:pPr>
        <w:pStyle w:val="af1"/>
        <w:rPr>
          <w:spacing w:val="-2"/>
        </w:rPr>
      </w:pPr>
    </w:p>
    <w:p w:rsidR="00346C2E" w:rsidRPr="005221E0" w:rsidRDefault="00346C2E" w:rsidP="00346C2E">
      <w:pPr>
        <w:pStyle w:val="-3"/>
      </w:pPr>
      <w:r w:rsidRPr="005221E0">
        <w:rPr>
          <w:noProof/>
        </w:rPr>
        <w:drawing>
          <wp:inline distT="0" distB="0" distL="0" distR="0" wp14:anchorId="15F59037" wp14:editId="08AA3A6B">
            <wp:extent cx="2732776" cy="856109"/>
            <wp:effectExtent l="19050" t="0" r="0" b="0"/>
            <wp:docPr id="1002" name="Рисунок 100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305" cy="86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2E" w:rsidRPr="005221E0" w:rsidRDefault="00346C2E" w:rsidP="00346C2E">
      <w:pPr>
        <w:pStyle w:val="-3"/>
      </w:pPr>
      <w:r w:rsidRPr="005221E0">
        <w:t>Рис. 1</w:t>
      </w:r>
      <w:r>
        <w:t>.</w:t>
      </w:r>
      <w:r w:rsidRPr="005221E0">
        <w:t xml:space="preserve"> Схема поступления пользователей в систему</w:t>
      </w:r>
    </w:p>
    <w:p w:rsidR="00346C2E" w:rsidRPr="005221E0" w:rsidRDefault="00346C2E" w:rsidP="00346C2E">
      <w:pPr>
        <w:pStyle w:val="af1"/>
        <w:rPr>
          <w:spacing w:val="-2"/>
        </w:rPr>
      </w:pPr>
      <w:r w:rsidRPr="005221E0">
        <w:rPr>
          <w:spacing w:val="-2"/>
        </w:rPr>
        <w:t>На схеме</w:t>
      </w:r>
      <w:r w:rsidRPr="005221E0">
        <w:rPr>
          <w:spacing w:val="-2"/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7.75pt" o:ole="">
            <v:imagedata r:id="rId11" o:title=""/>
          </v:shape>
          <o:OLEObject Type="Embed" ProgID="Equation.3" ShapeID="_x0000_i1025" DrawAspect="Content" ObjectID="_1379365730" r:id="rId12"/>
        </w:object>
      </w:r>
      <w:r w:rsidRPr="005221E0">
        <w:rPr>
          <w:spacing w:val="-2"/>
        </w:rPr>
        <w:t xml:space="preserve"> – вероятность того, что пользователь решит воспользоваться услугами первого сервиса, </w:t>
      </w:r>
      <w:r w:rsidRPr="005221E0">
        <w:rPr>
          <w:spacing w:val="-2"/>
          <w:position w:val="-12"/>
        </w:rPr>
        <w:object w:dxaOrig="300" w:dyaOrig="360">
          <v:shape id="_x0000_i1026" type="#_x0000_t75" style="width:14.95pt;height:17.75pt" o:ole="">
            <v:imagedata r:id="rId13" o:title=""/>
          </v:shape>
          <o:OLEObject Type="Embed" ProgID="Equation.3" ShapeID="_x0000_i1026" DrawAspect="Content" ObjectID="_1379365731" r:id="rId14"/>
        </w:object>
      </w:r>
      <w:r w:rsidRPr="005221E0">
        <w:rPr>
          <w:spacing w:val="-2"/>
        </w:rPr>
        <w:t xml:space="preserve"> – второго, </w:t>
      </w:r>
      <w:r w:rsidRPr="005221E0">
        <w:rPr>
          <w:spacing w:val="-2"/>
          <w:position w:val="-12"/>
        </w:rPr>
        <w:object w:dxaOrig="1040" w:dyaOrig="360">
          <v:shape id="_x0000_i1027" type="#_x0000_t75" style="width:51.45pt;height:17.75pt" o:ole="">
            <v:imagedata r:id="rId15" o:title=""/>
          </v:shape>
          <o:OLEObject Type="Embed" ProgID="Equation.3" ShapeID="_x0000_i1027" DrawAspect="Content" ObjectID="_1379365732" r:id="rId16"/>
        </w:object>
      </w:r>
      <w:r w:rsidRPr="005221E0">
        <w:rPr>
          <w:spacing w:val="-2"/>
        </w:rPr>
        <w:t>. Если ожидаемый доход пользователя больше нуля, провайдеры увеличивают цены (чтобы при этом к</w:t>
      </w:r>
      <w:r w:rsidRPr="005221E0">
        <w:rPr>
          <w:spacing w:val="-2"/>
        </w:rPr>
        <w:t>о</w:t>
      </w:r>
      <w:r w:rsidRPr="005221E0">
        <w:rPr>
          <w:spacing w:val="-2"/>
        </w:rPr>
        <w:t>личество пользователей не сократилось) до тех пор, пока этот доход не станет равным нулю. Пользователи идентичны во всем, отлично только их время пр</w:t>
      </w:r>
      <w:r w:rsidRPr="005221E0">
        <w:rPr>
          <w:spacing w:val="-2"/>
        </w:rPr>
        <w:t>и</w:t>
      </w:r>
      <w:r w:rsidRPr="005221E0">
        <w:rPr>
          <w:spacing w:val="-2"/>
        </w:rPr>
        <w:t xml:space="preserve">бытия. Интенсивность входного потока пользователей – </w:t>
      </w:r>
      <w:r w:rsidRPr="005221E0">
        <w:rPr>
          <w:spacing w:val="-2"/>
          <w:position w:val="-6"/>
          <w:lang w:val="en-US"/>
        </w:rPr>
        <w:object w:dxaOrig="240" w:dyaOrig="300">
          <v:shape id="_x0000_i1028" type="#_x0000_t75" style="width:12.15pt;height:14.95pt" o:ole="">
            <v:imagedata r:id="rId17" o:title=""/>
          </v:shape>
          <o:OLEObject Type="Embed" ProgID="Equation.3" ShapeID="_x0000_i1028" DrawAspect="Content" ObjectID="_1379365733" r:id="rId18"/>
        </w:object>
      </w:r>
      <w:r w:rsidRPr="005221E0">
        <w:rPr>
          <w:spacing w:val="-2"/>
        </w:rPr>
        <w:t>.</w:t>
      </w:r>
    </w:p>
    <w:p w:rsidR="00346C2E" w:rsidRPr="005221E0" w:rsidRDefault="00346C2E" w:rsidP="00346C2E">
      <w:pPr>
        <w:pStyle w:val="af1"/>
        <w:rPr>
          <w:spacing w:val="-2"/>
        </w:rPr>
      </w:pPr>
      <w:r w:rsidRPr="005221E0">
        <w:rPr>
          <w:spacing w:val="-2"/>
        </w:rPr>
        <w:t xml:space="preserve">Для модели с </w:t>
      </w:r>
      <w:proofErr w:type="gramStart"/>
      <w:r w:rsidRPr="005221E0">
        <w:rPr>
          <w:spacing w:val="-2"/>
        </w:rPr>
        <w:t>фиксированными</w:t>
      </w:r>
      <w:proofErr w:type="gramEnd"/>
      <w:r w:rsidRPr="005221E0">
        <w:rPr>
          <w:spacing w:val="-2"/>
        </w:rPr>
        <w:t xml:space="preserve"> </w:t>
      </w:r>
      <w:r w:rsidRPr="005221E0">
        <w:rPr>
          <w:spacing w:val="-2"/>
          <w:position w:val="-12"/>
        </w:rPr>
        <w:object w:dxaOrig="300" w:dyaOrig="360">
          <v:shape id="_x0000_i1029" type="#_x0000_t75" style="width:14.95pt;height:17.75pt" o:ole="">
            <v:imagedata r:id="rId19" o:title=""/>
          </v:shape>
          <o:OLEObject Type="Embed" ProgID="Equation.3" ShapeID="_x0000_i1029" DrawAspect="Content" ObjectID="_1379365734" r:id="rId20"/>
        </w:object>
      </w:r>
      <w:r w:rsidRPr="005221E0">
        <w:rPr>
          <w:spacing w:val="-2"/>
        </w:rPr>
        <w:t xml:space="preserve"> доказано, что на стоимость услуг знач</w:t>
      </w:r>
      <w:r w:rsidRPr="005221E0">
        <w:rPr>
          <w:spacing w:val="-2"/>
        </w:rPr>
        <w:t>и</w:t>
      </w:r>
      <w:r w:rsidRPr="005221E0">
        <w:rPr>
          <w:spacing w:val="-2"/>
        </w:rPr>
        <w:t>тельно влияет интенсивность обработки заявок, и чем выше это значение, тем стоимость услуг у сервисов  выше, и наоборот. Соответственно, и доход серв</w:t>
      </w:r>
      <w:r w:rsidRPr="005221E0">
        <w:rPr>
          <w:spacing w:val="-2"/>
        </w:rPr>
        <w:t>и</w:t>
      </w:r>
      <w:r w:rsidRPr="005221E0">
        <w:rPr>
          <w:spacing w:val="-2"/>
        </w:rPr>
        <w:t>сов может возрасти, если количество пользователей не сократится. Причем в з</w:t>
      </w:r>
      <w:r w:rsidRPr="005221E0">
        <w:rPr>
          <w:spacing w:val="-2"/>
        </w:rPr>
        <w:t>а</w:t>
      </w:r>
      <w:r w:rsidRPr="005221E0">
        <w:rPr>
          <w:spacing w:val="-2"/>
        </w:rPr>
        <w:t xml:space="preserve">висимости от величины </w:t>
      </w:r>
      <w:r w:rsidRPr="005221E0">
        <w:rPr>
          <w:spacing w:val="-2"/>
          <w:position w:val="-12"/>
        </w:rPr>
        <w:object w:dxaOrig="279" w:dyaOrig="360">
          <v:shape id="_x0000_i1030" type="#_x0000_t75" style="width:14.05pt;height:17.75pt" o:ole="">
            <v:imagedata r:id="rId21" o:title=""/>
          </v:shape>
          <o:OLEObject Type="Embed" ProgID="Equation.3" ShapeID="_x0000_i1030" DrawAspect="Content" ObjectID="_1379365735" r:id="rId22"/>
        </w:object>
      </w:r>
      <w:r>
        <w:rPr>
          <w:spacing w:val="-2"/>
        </w:rPr>
        <w:t xml:space="preserve"> </w:t>
      </w:r>
      <w:r w:rsidRPr="005221E0">
        <w:rPr>
          <w:spacing w:val="-2"/>
        </w:rPr>
        <w:t xml:space="preserve">прибыль сервиса </w:t>
      </w:r>
      <w:proofErr w:type="spellStart"/>
      <w:r w:rsidRPr="005221E0">
        <w:rPr>
          <w:i/>
          <w:spacing w:val="-2"/>
          <w:lang w:val="en-US"/>
        </w:rPr>
        <w:t>i</w:t>
      </w:r>
      <w:proofErr w:type="spellEnd"/>
      <w:r w:rsidRPr="005221E0">
        <w:rPr>
          <w:spacing w:val="-2"/>
        </w:rPr>
        <w:t xml:space="preserve"> может быть как больше, так и меньше, чем в условиях монополии [2]. Однако в таком случае очередь из пол</w:t>
      </w:r>
      <w:r w:rsidRPr="005221E0">
        <w:rPr>
          <w:spacing w:val="-2"/>
        </w:rPr>
        <w:t>ь</w:t>
      </w:r>
      <w:r w:rsidRPr="005221E0">
        <w:rPr>
          <w:spacing w:val="-2"/>
        </w:rPr>
        <w:t xml:space="preserve">зователей возрастает, увеличивается время обслуживания и нагрузка на сервер. Доходы </w:t>
      </w:r>
      <w:proofErr w:type="spellStart"/>
      <w:r w:rsidRPr="005221E0">
        <w:rPr>
          <w:spacing w:val="-2"/>
        </w:rPr>
        <w:t>парковщика</w:t>
      </w:r>
      <w:proofErr w:type="spellEnd"/>
      <w:r w:rsidRPr="005221E0">
        <w:rPr>
          <w:spacing w:val="-2"/>
        </w:rPr>
        <w:t xml:space="preserve"> не уменьшатся, а стоимость его услуг может даже сокр</w:t>
      </w:r>
      <w:r w:rsidRPr="005221E0">
        <w:rPr>
          <w:spacing w:val="-2"/>
        </w:rPr>
        <w:t>а</w:t>
      </w:r>
      <w:r w:rsidRPr="005221E0">
        <w:rPr>
          <w:spacing w:val="-2"/>
        </w:rPr>
        <w:t xml:space="preserve">титься, в зависимости от количества пользователей. Таким образом, значение </w:t>
      </w:r>
      <w:r w:rsidRPr="005221E0">
        <w:rPr>
          <w:spacing w:val="-2"/>
          <w:position w:val="-12"/>
        </w:rPr>
        <w:object w:dxaOrig="279" w:dyaOrig="360">
          <v:shape id="_x0000_i1031" type="#_x0000_t75" style="width:14.05pt;height:17.75pt" o:ole="">
            <v:imagedata r:id="rId23" o:title=""/>
          </v:shape>
          <o:OLEObject Type="Embed" ProgID="Equation.3" ShapeID="_x0000_i1031" DrawAspect="Content" ObjectID="_1379365736" r:id="rId24"/>
        </w:object>
      </w:r>
      <w:r w:rsidRPr="005221E0">
        <w:rPr>
          <w:spacing w:val="-2"/>
        </w:rPr>
        <w:t xml:space="preserve"> влияет только на конечную прибыль сервисов; чем выше это значение, тем выше доход сервисов [1]. </w:t>
      </w:r>
    </w:p>
    <w:p w:rsidR="00346C2E" w:rsidRPr="005221E0" w:rsidRDefault="00346C2E" w:rsidP="00346C2E">
      <w:pPr>
        <w:pStyle w:val="af1"/>
        <w:rPr>
          <w:spacing w:val="-2"/>
        </w:rPr>
      </w:pPr>
      <w:r w:rsidRPr="005221E0">
        <w:rPr>
          <w:spacing w:val="-2"/>
        </w:rPr>
        <w:t xml:space="preserve">Для модели с «гибким» </w:t>
      </w:r>
      <w:r w:rsidRPr="005221E0">
        <w:rPr>
          <w:spacing w:val="-2"/>
          <w:position w:val="-12"/>
        </w:rPr>
        <w:object w:dxaOrig="300" w:dyaOrig="360">
          <v:shape id="_x0000_i1032" type="#_x0000_t75" style="width:14.95pt;height:17.75pt" o:ole="">
            <v:imagedata r:id="rId25" o:title=""/>
          </v:shape>
          <o:OLEObject Type="Embed" ProgID="Equation.3" ShapeID="_x0000_i1032" DrawAspect="Content" ObjectID="_1379365737" r:id="rId26"/>
        </w:object>
      </w:r>
      <w:r w:rsidRPr="005221E0">
        <w:rPr>
          <w:spacing w:val="-2"/>
        </w:rPr>
        <w:t xml:space="preserve"> в случае</w:t>
      </w:r>
      <w:r>
        <w:rPr>
          <w:spacing w:val="-2"/>
        </w:rPr>
        <w:t>,</w:t>
      </w:r>
      <w:r w:rsidRPr="005221E0">
        <w:rPr>
          <w:spacing w:val="-2"/>
        </w:rPr>
        <w:t xml:space="preserve"> когда </w:t>
      </w:r>
      <w:r w:rsidRPr="005221E0">
        <w:rPr>
          <w:spacing w:val="-2"/>
          <w:position w:val="-10"/>
        </w:rPr>
        <w:object w:dxaOrig="700" w:dyaOrig="340">
          <v:shape id="_x0000_i1033" type="#_x0000_t75" style="width:35.55pt;height:16.85pt" o:ole="">
            <v:imagedata r:id="rId27" o:title=""/>
          </v:shape>
          <o:OLEObject Type="Embed" ProgID="Equation.3" ShapeID="_x0000_i1033" DrawAspect="Content" ObjectID="_1379365738" r:id="rId28"/>
        </w:object>
      </w:r>
      <w:r>
        <w:rPr>
          <w:spacing w:val="-2"/>
        </w:rPr>
        <w:t xml:space="preserve">, </w:t>
      </w:r>
      <w:r w:rsidRPr="005221E0">
        <w:rPr>
          <w:spacing w:val="-2"/>
        </w:rPr>
        <w:t xml:space="preserve">получено доказательство, которое </w:t>
      </w:r>
      <w:proofErr w:type="gramStart"/>
      <w:r w:rsidRPr="005221E0">
        <w:rPr>
          <w:spacing w:val="-2"/>
        </w:rPr>
        <w:t>подтвердило что провайдеры действительно могут</w:t>
      </w:r>
      <w:proofErr w:type="gramEnd"/>
      <w:r w:rsidRPr="005221E0">
        <w:rPr>
          <w:spacing w:val="-2"/>
        </w:rPr>
        <w:t xml:space="preserve"> конкурировать за назначение цен так, чтобы их прибыль не сократилась</w:t>
      </w:r>
      <w:r>
        <w:rPr>
          <w:spacing w:val="-2"/>
        </w:rPr>
        <w:t xml:space="preserve"> </w:t>
      </w:r>
      <w:r w:rsidRPr="005221E0">
        <w:rPr>
          <w:spacing w:val="-2"/>
        </w:rPr>
        <w:t>и пользователи не пок</w:t>
      </w:r>
      <w:r w:rsidRPr="005221E0">
        <w:rPr>
          <w:spacing w:val="-2"/>
        </w:rPr>
        <w:t>и</w:t>
      </w:r>
      <w:r w:rsidRPr="005221E0">
        <w:rPr>
          <w:spacing w:val="-2"/>
        </w:rPr>
        <w:t xml:space="preserve">дали систему. </w:t>
      </w:r>
    </w:p>
    <w:p w:rsidR="00346C2E" w:rsidRPr="005221E0" w:rsidRDefault="00346C2E" w:rsidP="00346C2E">
      <w:pPr>
        <w:pStyle w:val="af1"/>
        <w:rPr>
          <w:spacing w:val="-2"/>
        </w:rPr>
      </w:pPr>
      <w:r w:rsidRPr="005221E0">
        <w:rPr>
          <w:spacing w:val="-2"/>
        </w:rPr>
        <w:lastRenderedPageBreak/>
        <w:t>Данное исследование может быть актуально при моделировании новых се</w:t>
      </w:r>
      <w:r w:rsidRPr="005221E0">
        <w:rPr>
          <w:spacing w:val="-2"/>
        </w:rPr>
        <w:t>р</w:t>
      </w:r>
      <w:r w:rsidRPr="005221E0">
        <w:rPr>
          <w:spacing w:val="-2"/>
        </w:rPr>
        <w:t>висов в различных сетях.</w:t>
      </w:r>
    </w:p>
    <w:p w:rsidR="00346C2E" w:rsidRDefault="00346C2E" w:rsidP="00346C2E">
      <w:pPr>
        <w:pStyle w:val="af1"/>
      </w:pPr>
    </w:p>
    <w:p w:rsidR="00346C2E" w:rsidRPr="005221E0" w:rsidRDefault="00346C2E" w:rsidP="00346C2E">
      <w:pPr>
        <w:pStyle w:val="af1"/>
        <w:rPr>
          <w:b/>
          <w:spacing w:val="-2"/>
        </w:rPr>
      </w:pPr>
      <w:r>
        <w:rPr>
          <w:b/>
          <w:spacing w:val="-2"/>
        </w:rPr>
        <w:t>Библиографический список</w:t>
      </w:r>
    </w:p>
    <w:p w:rsidR="00346C2E" w:rsidRPr="00B76D25" w:rsidRDefault="00346C2E" w:rsidP="00346C2E">
      <w:pPr>
        <w:pStyle w:val="af1"/>
        <w:numPr>
          <w:ilvl w:val="0"/>
          <w:numId w:val="103"/>
        </w:numPr>
        <w:rPr>
          <w:spacing w:val="-2"/>
          <w:lang w:val="en-US"/>
        </w:rPr>
      </w:pPr>
      <w:r w:rsidRPr="005221E0">
        <w:rPr>
          <w:spacing w:val="-2"/>
        </w:rPr>
        <w:t>Плаксина Н.</w:t>
      </w:r>
      <w:r>
        <w:rPr>
          <w:spacing w:val="-2"/>
        </w:rPr>
        <w:t xml:space="preserve"> </w:t>
      </w:r>
      <w:r w:rsidRPr="005221E0">
        <w:rPr>
          <w:spacing w:val="-2"/>
        </w:rPr>
        <w:t>В. Равновесные цены для пров</w:t>
      </w:r>
      <w:r>
        <w:rPr>
          <w:spacing w:val="-2"/>
        </w:rPr>
        <w:t xml:space="preserve">айдеров в системе с очередями </w:t>
      </w:r>
      <w:r w:rsidRPr="005221E0">
        <w:rPr>
          <w:spacing w:val="-2"/>
        </w:rPr>
        <w:t>// Ученые записки Петрозаводского государственного университета.</w:t>
      </w:r>
      <w:r>
        <w:rPr>
          <w:spacing w:val="-2"/>
        </w:rPr>
        <w:t xml:space="preserve"> </w:t>
      </w:r>
      <w:r w:rsidRPr="00B76D25">
        <w:rPr>
          <w:spacing w:val="-2"/>
          <w:lang w:val="en-US"/>
        </w:rPr>
        <w:t xml:space="preserve">2011.  </w:t>
      </w:r>
      <w:r w:rsidRPr="00B76D25">
        <w:rPr>
          <w:rFonts w:cs="Arial"/>
          <w:spacing w:val="-2"/>
          <w:lang w:val="en-US"/>
        </w:rPr>
        <w:t>¹</w:t>
      </w:r>
      <w:r w:rsidRPr="00B76D25">
        <w:rPr>
          <w:rFonts w:ascii="Arial" w:hAnsi="Arial" w:cs="Arial"/>
          <w:spacing w:val="-2"/>
          <w:lang w:val="en-US"/>
        </w:rPr>
        <w:t> </w:t>
      </w:r>
      <w:r w:rsidRPr="00B76D25">
        <w:rPr>
          <w:rFonts w:cs="Classic Russian"/>
          <w:spacing w:val="-2"/>
          <w:lang w:val="en-US"/>
        </w:rPr>
        <w:t xml:space="preserve">4 (117) . </w:t>
      </w:r>
      <w:r w:rsidRPr="005221E0">
        <w:rPr>
          <w:rFonts w:cs="Classic Russian"/>
          <w:spacing w:val="-2"/>
        </w:rPr>
        <w:t>С</w:t>
      </w:r>
      <w:r w:rsidRPr="00B76D25">
        <w:rPr>
          <w:rFonts w:cs="Classic Russian"/>
          <w:spacing w:val="-2"/>
          <w:lang w:val="en-US"/>
        </w:rPr>
        <w:t>.</w:t>
      </w:r>
      <w:r w:rsidRPr="00B76D25">
        <w:rPr>
          <w:rFonts w:ascii="Arial" w:hAnsi="Arial" w:cs="Arial"/>
          <w:spacing w:val="-2"/>
          <w:lang w:val="en-US"/>
        </w:rPr>
        <w:t> </w:t>
      </w:r>
      <w:r w:rsidRPr="00B76D25">
        <w:rPr>
          <w:rFonts w:cs="Classic Russian"/>
          <w:spacing w:val="-2"/>
          <w:lang w:val="en-US"/>
        </w:rPr>
        <w:t>92</w:t>
      </w:r>
      <w:r>
        <w:rPr>
          <w:rFonts w:cs="Classic Russian"/>
          <w:spacing w:val="-2"/>
        </w:rPr>
        <w:t>–</w:t>
      </w:r>
      <w:r w:rsidRPr="00B76D25">
        <w:rPr>
          <w:rFonts w:cs="Classic Russian"/>
          <w:spacing w:val="-2"/>
          <w:lang w:val="en-US"/>
        </w:rPr>
        <w:t xml:space="preserve">94. </w:t>
      </w:r>
    </w:p>
    <w:p w:rsidR="005D5267" w:rsidRPr="00346C2E" w:rsidRDefault="00346C2E" w:rsidP="00380BA5">
      <w:pPr>
        <w:pStyle w:val="af1"/>
        <w:numPr>
          <w:ilvl w:val="0"/>
          <w:numId w:val="103"/>
        </w:numPr>
        <w:rPr>
          <w:spacing w:val="-2"/>
          <w:lang w:val="en-US"/>
        </w:rPr>
      </w:pPr>
      <w:proofErr w:type="spellStart"/>
      <w:r w:rsidRPr="005221E0">
        <w:rPr>
          <w:spacing w:val="-2"/>
          <w:lang w:val="en-US"/>
        </w:rPr>
        <w:t>Veltman</w:t>
      </w:r>
      <w:proofErr w:type="spellEnd"/>
      <w:r w:rsidRPr="005221E0">
        <w:rPr>
          <w:spacing w:val="-2"/>
          <w:lang w:val="en-US"/>
        </w:rPr>
        <w:t xml:space="preserve"> A., </w:t>
      </w:r>
      <w:proofErr w:type="spellStart"/>
      <w:r w:rsidRPr="005221E0">
        <w:rPr>
          <w:spacing w:val="-2"/>
          <w:lang w:val="en-US"/>
        </w:rPr>
        <w:t>Hassin</w:t>
      </w:r>
      <w:proofErr w:type="spellEnd"/>
      <w:r w:rsidRPr="005221E0">
        <w:rPr>
          <w:spacing w:val="-2"/>
          <w:lang w:val="en-US"/>
        </w:rPr>
        <w:t xml:space="preserve"> R. Equilibrium in </w:t>
      </w:r>
      <w:proofErr w:type="spellStart"/>
      <w:r w:rsidRPr="005221E0">
        <w:rPr>
          <w:spacing w:val="-2"/>
          <w:lang w:val="en-US"/>
        </w:rPr>
        <w:t>Queueing</w:t>
      </w:r>
      <w:proofErr w:type="spellEnd"/>
      <w:r w:rsidRPr="005221E0">
        <w:rPr>
          <w:spacing w:val="-2"/>
          <w:lang w:val="en-US"/>
        </w:rPr>
        <w:t xml:space="preserve"> Systems with Complementary Products // </w:t>
      </w:r>
      <w:proofErr w:type="spellStart"/>
      <w:r w:rsidRPr="005221E0">
        <w:rPr>
          <w:spacing w:val="-2"/>
          <w:lang w:val="en-US"/>
        </w:rPr>
        <w:t>Queueing</w:t>
      </w:r>
      <w:proofErr w:type="spellEnd"/>
      <w:r w:rsidRPr="005221E0">
        <w:rPr>
          <w:spacing w:val="-2"/>
          <w:lang w:val="en-US"/>
        </w:rPr>
        <w:t xml:space="preserve"> Systems, Netherlands: Springer Science + Business Media, 2005. P.</w:t>
      </w:r>
      <w:r>
        <w:rPr>
          <w:spacing w:val="-2"/>
        </w:rPr>
        <w:t xml:space="preserve"> </w:t>
      </w:r>
      <w:r w:rsidRPr="005221E0">
        <w:rPr>
          <w:spacing w:val="-2"/>
          <w:lang w:val="en-US"/>
        </w:rPr>
        <w:t>325</w:t>
      </w:r>
      <w:r>
        <w:rPr>
          <w:spacing w:val="-2"/>
        </w:rPr>
        <w:t>–</w:t>
      </w:r>
      <w:r w:rsidRPr="005221E0">
        <w:rPr>
          <w:spacing w:val="-2"/>
          <w:lang w:val="en-US"/>
        </w:rPr>
        <w:t>342.</w:t>
      </w:r>
      <w:r w:rsidR="009B0306" w:rsidRPr="00380BA5">
        <w:t xml:space="preserve"> </w:t>
      </w:r>
    </w:p>
    <w:sectPr w:rsidR="005D5267" w:rsidRPr="00346C2E" w:rsidSect="009B0306">
      <w:footerReference w:type="even" r:id="rId29"/>
      <w:footerReference w:type="default" r:id="rId30"/>
      <w:headerReference w:type="first" r:id="rId31"/>
      <w:footerReference w:type="first" r:id="rId32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71" w:rsidRDefault="00201A71">
      <w:r>
        <w:separator/>
      </w:r>
    </w:p>
  </w:endnote>
  <w:endnote w:type="continuationSeparator" w:id="0">
    <w:p w:rsidR="00201A71" w:rsidRDefault="0020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46C2E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46C2E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71" w:rsidRDefault="00201A71">
      <w:r>
        <w:separator/>
      </w:r>
    </w:p>
  </w:footnote>
  <w:footnote w:type="continuationSeparator" w:id="0">
    <w:p w:rsidR="00201A71" w:rsidRDefault="0020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A71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6C2E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8B674B8-A960-4651-B7BD-5AAFF614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2011-10-05T20:02:00Z</dcterms:created>
  <dcterms:modified xsi:type="dcterms:W3CDTF">2011-10-05T20:02:00Z</dcterms:modified>
</cp:coreProperties>
</file>