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1C" w:rsidRPr="00F96F01" w:rsidRDefault="00CF601C" w:rsidP="00CF601C">
      <w:pPr>
        <w:pStyle w:val="11"/>
      </w:pPr>
      <w:bookmarkStart w:id="0" w:name="_Toc304389978"/>
      <w:bookmarkStart w:id="1" w:name="_Toc304390286"/>
      <w:bookmarkStart w:id="2" w:name="_GoBack"/>
      <w:r w:rsidRPr="00F96F01">
        <w:t xml:space="preserve">ОСОБЕННОСТИ </w:t>
      </w:r>
      <w:r>
        <w:t xml:space="preserve">ДОСТИЖЕНИЯ  ОТКРЫТОСТИ </w:t>
      </w:r>
      <w:bookmarkEnd w:id="2"/>
      <w:r>
        <w:t>УЧЕБНОГО </w:t>
      </w:r>
      <w:r w:rsidRPr="00F96F01">
        <w:t>ПРОЦЕССА И ЕГО РЕЗУЛЬТАТИВНОСТИ</w:t>
      </w:r>
      <w:bookmarkEnd w:id="0"/>
      <w:bookmarkEnd w:id="1"/>
    </w:p>
    <w:p w:rsidR="00CF601C" w:rsidRPr="00F96F01" w:rsidRDefault="00CF601C" w:rsidP="00CF601C">
      <w:pPr>
        <w:pStyle w:val="22"/>
      </w:pPr>
      <w:bookmarkStart w:id="3" w:name="_Toc304389979"/>
      <w:bookmarkStart w:id="4" w:name="_Toc304390287"/>
      <w:r w:rsidRPr="00F96F01">
        <w:t>Л.</w:t>
      </w:r>
      <w:r>
        <w:t xml:space="preserve"> </w:t>
      </w:r>
      <w:r w:rsidRPr="00F96F01">
        <w:t>Я. Маслина</w:t>
      </w:r>
      <w:r>
        <w:fldChar w:fldCharType="begin"/>
      </w:r>
      <w:r>
        <w:instrText xml:space="preserve"> XE "</w:instrText>
      </w:r>
      <w:r w:rsidRPr="007376EB">
        <w:instrText>Маслина</w:instrText>
      </w:r>
      <w:r w:rsidRPr="00F96F01">
        <w:instrText xml:space="preserve"> </w:instrText>
      </w:r>
      <w:r w:rsidRPr="007376EB">
        <w:instrText xml:space="preserve">Л. </w:instrText>
      </w:r>
      <w:r>
        <w:instrText xml:space="preserve">Я." </w:instrText>
      </w:r>
      <w:r>
        <w:fldChar w:fldCharType="end"/>
      </w:r>
      <w:r w:rsidRPr="00F96F01">
        <w:t>, А.</w:t>
      </w:r>
      <w:r>
        <w:t xml:space="preserve"> </w:t>
      </w:r>
      <w:r w:rsidRPr="00F96F01">
        <w:t>В. Панов</w:t>
      </w:r>
      <w:r>
        <w:fldChar w:fldCharType="begin"/>
      </w:r>
      <w:r>
        <w:instrText xml:space="preserve"> XE "</w:instrText>
      </w:r>
      <w:r w:rsidRPr="007376EB">
        <w:instrText>Панов</w:instrText>
      </w:r>
      <w:r w:rsidRPr="00F96F01">
        <w:instrText xml:space="preserve"> </w:instrText>
      </w:r>
      <w:r w:rsidRPr="007376EB">
        <w:instrText xml:space="preserve">А. </w:instrText>
      </w:r>
      <w:r>
        <w:instrText xml:space="preserve">В." </w:instrText>
      </w:r>
      <w:r>
        <w:fldChar w:fldCharType="end"/>
      </w:r>
      <w:r w:rsidRPr="00F96F01">
        <w:t>, В.</w:t>
      </w:r>
      <w:r>
        <w:t xml:space="preserve"> </w:t>
      </w:r>
      <w:r w:rsidRPr="00F96F01">
        <w:t>Д. Само</w:t>
      </w:r>
      <w:r w:rsidRPr="00F96F01">
        <w:t>й</w:t>
      </w:r>
      <w:r w:rsidRPr="00F96F01">
        <w:t>лов</w:t>
      </w:r>
      <w:r>
        <w:fldChar w:fldCharType="begin"/>
      </w:r>
      <w:r>
        <w:instrText xml:space="preserve"> XE "</w:instrText>
      </w:r>
      <w:r w:rsidRPr="007376EB">
        <w:instrText>Самойлов</w:instrText>
      </w:r>
      <w:r w:rsidRPr="00F96F01">
        <w:instrText xml:space="preserve"> </w:instrText>
      </w:r>
      <w:r w:rsidRPr="007376EB">
        <w:instrText xml:space="preserve">В. </w:instrText>
      </w:r>
      <w:r>
        <w:instrText xml:space="preserve">Д." </w:instrText>
      </w:r>
      <w:r>
        <w:fldChar w:fldCharType="end"/>
      </w:r>
      <w:r w:rsidRPr="00F96F01">
        <w:t>, Н.</w:t>
      </w:r>
      <w:r>
        <w:t xml:space="preserve"> </w:t>
      </w:r>
      <w:r w:rsidRPr="00F96F01">
        <w:t xml:space="preserve">П. </w:t>
      </w:r>
      <w:proofErr w:type="spellStart"/>
      <w:r w:rsidRPr="00F96F01">
        <w:t>Танетова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7376EB">
        <w:instrText>Танетова</w:instrText>
      </w:r>
      <w:r w:rsidRPr="00F96F01">
        <w:instrText xml:space="preserve"> </w:instrText>
      </w:r>
      <w:r w:rsidRPr="007376EB">
        <w:instrText xml:space="preserve">Н. </w:instrText>
      </w:r>
      <w:r>
        <w:instrText xml:space="preserve">П." </w:instrText>
      </w:r>
      <w:r>
        <w:fldChar w:fldCharType="end"/>
      </w:r>
    </w:p>
    <w:p w:rsidR="00CF601C" w:rsidRDefault="00CF601C" w:rsidP="00CF601C">
      <w:pPr>
        <w:pStyle w:val="ad"/>
      </w:pPr>
      <w:r w:rsidRPr="00F96F01">
        <w:t>Московский государственный институт радиотехники, электроники и автоматики (технический университет)</w:t>
      </w:r>
      <w:r>
        <w:fldChar w:fldCharType="begin"/>
      </w:r>
      <w:r>
        <w:instrText xml:space="preserve"> XE "</w:instrText>
      </w:r>
      <w:r w:rsidRPr="007376EB">
        <w:instrText>Московский государственный институт радиотехники, электроники и автоматики (технический университет)</w:instrText>
      </w:r>
      <w:r>
        <w:instrText xml:space="preserve">" </w:instrText>
      </w:r>
      <w:r>
        <w:fldChar w:fldCharType="end"/>
      </w:r>
    </w:p>
    <w:p w:rsidR="00CF601C" w:rsidRDefault="00CF601C" w:rsidP="00CF601C">
      <w:pPr>
        <w:pStyle w:val="ad"/>
      </w:pPr>
      <w:r w:rsidRPr="00F96F01">
        <w:t>Москва</w:t>
      </w:r>
    </w:p>
    <w:p w:rsidR="00CF601C" w:rsidRPr="00F96F01" w:rsidRDefault="00CF601C" w:rsidP="00CF601C">
      <w:pPr>
        <w:pStyle w:val="af"/>
      </w:pPr>
      <w:proofErr w:type="spellStart"/>
      <w:r w:rsidRPr="00F96F01">
        <w:rPr>
          <w:lang w:val="en-US"/>
        </w:rPr>
        <w:t>tanetova</w:t>
      </w:r>
      <w:proofErr w:type="spellEnd"/>
      <w:r w:rsidRPr="00F96F01">
        <w:t>@</w:t>
      </w:r>
      <w:proofErr w:type="spellStart"/>
      <w:r w:rsidRPr="00F96F01">
        <w:rPr>
          <w:lang w:val="en-US"/>
        </w:rPr>
        <w:t>gmail</w:t>
      </w:r>
      <w:proofErr w:type="spellEnd"/>
      <w:r w:rsidRPr="00F96F01">
        <w:t>.</w:t>
      </w:r>
      <w:r w:rsidRPr="00F96F01">
        <w:rPr>
          <w:lang w:val="en-US"/>
        </w:rPr>
        <w:t>com</w:t>
      </w:r>
    </w:p>
    <w:p w:rsidR="00CF601C" w:rsidRPr="00F96F01" w:rsidRDefault="00CF601C" w:rsidP="00CF601C">
      <w:pPr>
        <w:pStyle w:val="af1"/>
      </w:pPr>
      <w:r w:rsidRPr="00F96F01">
        <w:t>В последние годы в экспертном сообществе России и многих зарубежных стран проблематика разработки и внедрения информационных технологий в образовательный процесс занимает доминирующее место. По существу, все участники образовательного процесса: и его руководители, и профессорско-преподавательский состав, и обучаемые осуществляют свою деятельность в единой образовательной среде с установленным доступом к необходимым и</w:t>
      </w:r>
      <w:r w:rsidRPr="00F96F01">
        <w:t>н</w:t>
      </w:r>
      <w:r w:rsidRPr="00F96F01">
        <w:t xml:space="preserve">формационным ресурсам. </w:t>
      </w:r>
    </w:p>
    <w:p w:rsidR="00CF601C" w:rsidRPr="00F96F01" w:rsidRDefault="00CF601C" w:rsidP="00CF601C">
      <w:pPr>
        <w:pStyle w:val="af1"/>
      </w:pPr>
      <w:r w:rsidRPr="00F96F01">
        <w:t>Это обстоятельство подче</w:t>
      </w:r>
      <w:r w:rsidRPr="00F96F01">
        <w:rPr>
          <w:rFonts w:cs="Classic Russian"/>
        </w:rPr>
        <w:t xml:space="preserve">ркивает </w:t>
      </w:r>
      <w:r w:rsidRPr="00F96F01">
        <w:t>несомненность вывода о том, что чем б</w:t>
      </w:r>
      <w:r w:rsidRPr="00F96F01">
        <w:t>о</w:t>
      </w:r>
      <w:r w:rsidRPr="00F96F01">
        <w:t>лее открытой и доступной является вузовская информационная среда, тем б</w:t>
      </w:r>
      <w:r w:rsidRPr="00F96F01">
        <w:t>о</w:t>
      </w:r>
      <w:r w:rsidRPr="00F96F01">
        <w:t>лее эффективной является система управления вузом и достижение вузом пр</w:t>
      </w:r>
      <w:r w:rsidRPr="00F96F01">
        <w:t>о</w:t>
      </w:r>
      <w:r w:rsidRPr="00F96F01">
        <w:t xml:space="preserve">грессирующей результативности образовательного процесса. </w:t>
      </w:r>
    </w:p>
    <w:p w:rsidR="00CF601C" w:rsidRPr="00F96F01" w:rsidRDefault="00CF601C" w:rsidP="00CF601C">
      <w:pPr>
        <w:pStyle w:val="af1"/>
      </w:pPr>
      <w:r w:rsidRPr="00F96F01">
        <w:t xml:space="preserve">Одним из основных критериев </w:t>
      </w:r>
      <w:proofErr w:type="gramStart"/>
      <w:r w:rsidRPr="00F96F01">
        <w:t>оценки эффективности функционирования вузовских систем образования</w:t>
      </w:r>
      <w:proofErr w:type="gramEnd"/>
      <w:r w:rsidRPr="00F96F01">
        <w:t xml:space="preserve"> является востребованность их выпускников. В этой связи переход подготовки </w:t>
      </w:r>
      <w:r w:rsidRPr="00F96F01">
        <w:rPr>
          <w:lang w:val="en-US"/>
        </w:rPr>
        <w:t>IT</w:t>
      </w:r>
      <w:r>
        <w:t>-</w:t>
      </w:r>
      <w:r w:rsidRPr="00F96F01">
        <w:t xml:space="preserve">специалистов на </w:t>
      </w:r>
      <w:proofErr w:type="spellStart"/>
      <w:r w:rsidRPr="00F96F01">
        <w:t>ФГОСы</w:t>
      </w:r>
      <w:proofErr w:type="spellEnd"/>
      <w:r w:rsidRPr="00F96F01">
        <w:t xml:space="preserve"> нового поколения предполагает необходимость переосмысления методики преподавания уче</w:t>
      </w:r>
      <w:r w:rsidRPr="00F96F01">
        <w:t>б</w:t>
      </w:r>
      <w:r w:rsidRPr="00F96F01">
        <w:t>ных дисциплин.</w:t>
      </w:r>
    </w:p>
    <w:p w:rsidR="00CF601C" w:rsidRPr="00F96F01" w:rsidRDefault="00CF601C" w:rsidP="00CF601C">
      <w:pPr>
        <w:pStyle w:val="af1"/>
      </w:pPr>
      <w:r w:rsidRPr="00F96F01">
        <w:t>Безусловно, для обеспечения достижения открытости учебного процесса в техническом университете вуз должен реализовать образовательные програ</w:t>
      </w:r>
      <w:r w:rsidRPr="00F96F01">
        <w:t>м</w:t>
      </w:r>
      <w:r w:rsidRPr="00F96F01">
        <w:t>мы, основанные на применении современных информационных технологий, в том числе с дистанционным (удале</w:t>
      </w:r>
      <w:r w:rsidRPr="00F96F01">
        <w:rPr>
          <w:rFonts w:cs="Classic Russian"/>
        </w:rPr>
        <w:t>н</w:t>
      </w:r>
      <w:r w:rsidRPr="00F96F01">
        <w:t>ным) доступом к потребляемым (пред</w:t>
      </w:r>
      <w:r w:rsidRPr="00F96F01">
        <w:t>о</w:t>
      </w:r>
      <w:r w:rsidRPr="00F96F01">
        <w:t>ставляемым) ресурсам. Это предполагает усвоение всеми участниками образ</w:t>
      </w:r>
      <w:r w:rsidRPr="00F96F01">
        <w:t>о</w:t>
      </w:r>
      <w:r w:rsidRPr="00F96F01">
        <w:t>вательного процесса умений и навыков практического использования инфо</w:t>
      </w:r>
      <w:r w:rsidRPr="00F96F01">
        <w:t>р</w:t>
      </w:r>
      <w:r w:rsidRPr="00F96F01">
        <w:t>мационных систем и средств.</w:t>
      </w:r>
    </w:p>
    <w:p w:rsidR="00CF601C" w:rsidRPr="00F96F01" w:rsidRDefault="00CF601C" w:rsidP="00CF601C">
      <w:pPr>
        <w:pStyle w:val="af1"/>
      </w:pPr>
      <w:r w:rsidRPr="00F96F01">
        <w:t xml:space="preserve">Рассмотрим особенности достижения  открытости учебного процесса в вузе. </w:t>
      </w:r>
    </w:p>
    <w:p w:rsidR="00CF601C" w:rsidRPr="00F96F01" w:rsidRDefault="00CF601C" w:rsidP="00CF601C">
      <w:pPr>
        <w:pStyle w:val="af1"/>
      </w:pPr>
      <w:r w:rsidRPr="00F96F01">
        <w:rPr>
          <w:b/>
          <w:i/>
        </w:rPr>
        <w:t>Организационная</w:t>
      </w:r>
      <w:r w:rsidRPr="00064241">
        <w:rPr>
          <w:b/>
          <w:i/>
        </w:rPr>
        <w:t>.</w:t>
      </w:r>
      <w:r w:rsidRPr="00F96F01">
        <w:t xml:space="preserve"> Она связана с заинтересованностью руководства вузом в достижении единства вузовской информационной среды в интересах всех участников образовательного процесса. В конечном </w:t>
      </w:r>
      <w:proofErr w:type="gramStart"/>
      <w:r w:rsidRPr="00F96F01">
        <w:t>сч</w:t>
      </w:r>
      <w:r w:rsidRPr="00064241">
        <w:t>е</w:t>
      </w:r>
      <w:r w:rsidRPr="00F96F01">
        <w:rPr>
          <w:rFonts w:cs="Classic Russian"/>
        </w:rPr>
        <w:t>те</w:t>
      </w:r>
      <w:proofErr w:type="gramEnd"/>
      <w:r w:rsidRPr="00F96F01">
        <w:rPr>
          <w:rFonts w:cs="Classic Russian"/>
        </w:rPr>
        <w:t xml:space="preserve"> заметно улучшается управляемость вуз</w:t>
      </w:r>
      <w:r w:rsidRPr="00F96F01">
        <w:t>ом, его быстрая адаптация к периодически изменяющимся образовательным условиям.</w:t>
      </w:r>
    </w:p>
    <w:p w:rsidR="00CF601C" w:rsidRPr="00F96F01" w:rsidRDefault="00CF601C" w:rsidP="00CF601C">
      <w:pPr>
        <w:pStyle w:val="af1"/>
      </w:pPr>
      <w:r w:rsidRPr="00F96F01">
        <w:rPr>
          <w:b/>
          <w:i/>
        </w:rPr>
        <w:t>Коллегиальная</w:t>
      </w:r>
      <w:r w:rsidRPr="00064241">
        <w:rPr>
          <w:b/>
          <w:i/>
        </w:rPr>
        <w:t>.</w:t>
      </w:r>
      <w:r w:rsidRPr="00F96F01">
        <w:t xml:space="preserve"> Разработка основных образовательных программ и сист</w:t>
      </w:r>
      <w:r w:rsidRPr="00F96F01">
        <w:t>е</w:t>
      </w:r>
      <w:r w:rsidRPr="00F96F01">
        <w:t>матизация тематики преподаваемых учебных дисциплин представляется р</w:t>
      </w:r>
      <w:r w:rsidRPr="00F96F01">
        <w:t>е</w:t>
      </w:r>
      <w:r w:rsidRPr="00F96F01">
        <w:t>зультатом совместных усилий педагогических коллективов и представителей работодателей (заказчиков, экспертов по соответствующей специальн</w:t>
      </w:r>
      <w:r w:rsidRPr="00F96F01">
        <w:t>о</w:t>
      </w:r>
      <w:r w:rsidRPr="00F96F01">
        <w:t xml:space="preserve">сти/направлению подготовки). </w:t>
      </w:r>
    </w:p>
    <w:p w:rsidR="00CF601C" w:rsidRPr="00F96F01" w:rsidRDefault="00CF601C" w:rsidP="00CF601C">
      <w:pPr>
        <w:pStyle w:val="af1"/>
      </w:pPr>
      <w:r w:rsidRPr="00F96F01">
        <w:rPr>
          <w:b/>
          <w:i/>
        </w:rPr>
        <w:t>Методическая</w:t>
      </w:r>
      <w:r w:rsidRPr="00064241">
        <w:rPr>
          <w:b/>
          <w:i/>
        </w:rPr>
        <w:t>.</w:t>
      </w:r>
      <w:r w:rsidRPr="00F96F01">
        <w:t xml:space="preserve"> Обоснование и структурирование тематики изучаемых учебных дисциплин составляет основу учебно-методической деятельности профессорско-преподавательского состава кафедр и предметно-методических комиссий.</w:t>
      </w:r>
    </w:p>
    <w:p w:rsidR="00CF601C" w:rsidRPr="00F96F01" w:rsidRDefault="00CF601C" w:rsidP="00CF601C">
      <w:pPr>
        <w:pStyle w:val="af1"/>
      </w:pPr>
      <w:r w:rsidRPr="00F96F01">
        <w:rPr>
          <w:b/>
          <w:i/>
        </w:rPr>
        <w:t>Инновационная</w:t>
      </w:r>
      <w:r w:rsidRPr="00064241">
        <w:rPr>
          <w:b/>
          <w:i/>
        </w:rPr>
        <w:t>.</w:t>
      </w:r>
      <w:r>
        <w:t xml:space="preserve"> </w:t>
      </w:r>
      <w:proofErr w:type="gramStart"/>
      <w:r>
        <w:t>О</w:t>
      </w:r>
      <w:r w:rsidRPr="00F96F01">
        <w:t>снован</w:t>
      </w:r>
      <w:r>
        <w:t>а</w:t>
      </w:r>
      <w:proofErr w:type="gramEnd"/>
      <w:r w:rsidRPr="00F96F01">
        <w:t xml:space="preserve"> на применении структурно-логических схем из</w:t>
      </w:r>
      <w:r w:rsidRPr="00F96F01">
        <w:t>у</w:t>
      </w:r>
      <w:r w:rsidRPr="00F96F01">
        <w:t xml:space="preserve">чения преподаваемой тематики </w:t>
      </w:r>
      <w:proofErr w:type="spellStart"/>
      <w:r w:rsidRPr="00F96F01">
        <w:t>дедукционно</w:t>
      </w:r>
      <w:proofErr w:type="spellEnd"/>
      <w:r w:rsidRPr="00F96F01">
        <w:t>-индукционным и абстрактно-конкретным методами. Речь ид</w:t>
      </w:r>
      <w:r w:rsidRPr="00064241">
        <w:t>е</w:t>
      </w:r>
      <w:r w:rsidRPr="00F96F01">
        <w:rPr>
          <w:rFonts w:cs="Classic Russian"/>
        </w:rPr>
        <w:t xml:space="preserve">т о </w:t>
      </w:r>
      <w:r w:rsidRPr="00F96F01">
        <w:t>разработке невербального логически стру</w:t>
      </w:r>
      <w:r w:rsidRPr="00F96F01">
        <w:t>к</w:t>
      </w:r>
      <w:r w:rsidRPr="00F96F01">
        <w:t>турированного дидактического материала (НЛСДМ) в соответствии со структу</w:t>
      </w:r>
      <w:r w:rsidRPr="00F96F01">
        <w:t>р</w:t>
      </w:r>
      <w:r w:rsidRPr="00F96F01">
        <w:t xml:space="preserve">но-логической схемой изучения конкретной учебной дисциплины, </w:t>
      </w:r>
      <w:r>
        <w:t>в данном сл</w:t>
      </w:r>
      <w:r>
        <w:t>у</w:t>
      </w:r>
      <w:r>
        <w:t>ча</w:t>
      </w:r>
      <w:r w:rsidRPr="0078303A">
        <w:t>е</w:t>
      </w:r>
      <w:r w:rsidRPr="0078303A">
        <w:rPr>
          <w:rFonts w:ascii="Arial" w:hAnsi="Arial" w:cs="Arial"/>
        </w:rPr>
        <w:t> </w:t>
      </w:r>
      <w:r w:rsidRPr="0078303A">
        <w:rPr>
          <w:rFonts w:cs="Classic Russian"/>
        </w:rPr>
        <w:t xml:space="preserve">– </w:t>
      </w:r>
      <w:r w:rsidRPr="0078303A">
        <w:t>«Рад</w:t>
      </w:r>
      <w:r w:rsidRPr="00F96F01">
        <w:t xml:space="preserve">иотехнические системы». </w:t>
      </w:r>
    </w:p>
    <w:p w:rsidR="00CF601C" w:rsidRPr="00F96F01" w:rsidRDefault="00CF601C" w:rsidP="00CF601C">
      <w:pPr>
        <w:pStyle w:val="af1"/>
      </w:pPr>
      <w:proofErr w:type="gramStart"/>
      <w:r w:rsidRPr="00F96F01">
        <w:t>Такая</w:t>
      </w:r>
      <w:proofErr w:type="gramEnd"/>
      <w:r w:rsidRPr="00F96F01">
        <w:t xml:space="preserve"> НЛСДМ в последующем периодически может адаптироваться (реда</w:t>
      </w:r>
      <w:r w:rsidRPr="00F96F01">
        <w:t>к</w:t>
      </w:r>
      <w:r w:rsidRPr="00F96F01">
        <w:t>тироваться и корректироваться) кафедральным коллективом в целях оптимиз</w:t>
      </w:r>
      <w:r w:rsidRPr="00F96F01">
        <w:t>а</w:t>
      </w:r>
      <w:r w:rsidRPr="00F96F01">
        <w:t>ции (актуализации) содержания базовой учебной программы.</w:t>
      </w:r>
    </w:p>
    <w:p w:rsidR="00CF601C" w:rsidRPr="00F96F01" w:rsidRDefault="00CF601C" w:rsidP="00CF601C">
      <w:pPr>
        <w:pStyle w:val="af1"/>
      </w:pPr>
      <w:r w:rsidRPr="00F96F01">
        <w:lastRenderedPageBreak/>
        <w:t>Структурно-логическая схема учебной дисциплины «Радиотехнические с</w:t>
      </w:r>
      <w:r w:rsidRPr="00F96F01">
        <w:t>и</w:t>
      </w:r>
      <w:r w:rsidRPr="00F96F01">
        <w:t>стемы» содержит следующие разделы:</w:t>
      </w:r>
    </w:p>
    <w:p w:rsidR="00CF601C" w:rsidRPr="00F96F01" w:rsidRDefault="00CF601C" w:rsidP="00CF601C">
      <w:pPr>
        <w:pStyle w:val="af1"/>
        <w:numPr>
          <w:ilvl w:val="0"/>
          <w:numId w:val="89"/>
        </w:numPr>
      </w:pPr>
      <w:proofErr w:type="spellStart"/>
      <w:r w:rsidRPr="00F96F01">
        <w:rPr>
          <w:i/>
        </w:rPr>
        <w:t>Дальнометрия</w:t>
      </w:r>
      <w:proofErr w:type="spellEnd"/>
      <w:r w:rsidRPr="00F96F01">
        <w:t>. Содержание раздела построено по принципу использ</w:t>
      </w:r>
      <w:r w:rsidRPr="00F96F01">
        <w:t>о</w:t>
      </w:r>
      <w:r w:rsidRPr="00F96F01">
        <w:t>вания амплитудного, частотного и фазового методов определения дал</w:t>
      </w:r>
      <w:r w:rsidRPr="00F96F01">
        <w:t>ь</w:t>
      </w:r>
      <w:r w:rsidRPr="00F96F01">
        <w:t>ности.</w:t>
      </w:r>
    </w:p>
    <w:p w:rsidR="00CF601C" w:rsidRPr="00F96F01" w:rsidRDefault="00CF601C" w:rsidP="00CF601C">
      <w:pPr>
        <w:pStyle w:val="af1"/>
        <w:numPr>
          <w:ilvl w:val="0"/>
          <w:numId w:val="89"/>
        </w:numPr>
      </w:pPr>
      <w:r w:rsidRPr="00F96F01">
        <w:rPr>
          <w:i/>
        </w:rPr>
        <w:t>Пеленгация</w:t>
      </w:r>
      <w:r w:rsidRPr="00F96F01">
        <w:t xml:space="preserve">. Содержание </w:t>
      </w:r>
      <w:proofErr w:type="gramStart"/>
      <w:r w:rsidRPr="00F96F01">
        <w:t>раздела</w:t>
      </w:r>
      <w:proofErr w:type="gramEnd"/>
      <w:r w:rsidRPr="00F96F01">
        <w:t xml:space="preserve"> и разработанный иллюстративный материал отражают амплитудный и фазовый методы измерения угловых координат.</w:t>
      </w:r>
    </w:p>
    <w:p w:rsidR="00CF601C" w:rsidRPr="00F96F01" w:rsidRDefault="00CF601C" w:rsidP="00CF601C">
      <w:pPr>
        <w:pStyle w:val="af1"/>
        <w:numPr>
          <w:ilvl w:val="0"/>
          <w:numId w:val="89"/>
        </w:numPr>
      </w:pPr>
      <w:r w:rsidRPr="00F96F01">
        <w:rPr>
          <w:i/>
        </w:rPr>
        <w:t>Измерение радиальной скорости</w:t>
      </w:r>
      <w:r w:rsidRPr="00F96F01">
        <w:t>. Приведен вывод основных соотнош</w:t>
      </w:r>
      <w:r w:rsidRPr="00F96F01">
        <w:t>е</w:t>
      </w:r>
      <w:r w:rsidRPr="00F96F01">
        <w:t>ний определения радиальной скорости объекта на базе иллюстративн</w:t>
      </w:r>
      <w:r w:rsidRPr="00F96F01">
        <w:t>о</w:t>
      </w:r>
      <w:r w:rsidRPr="00F96F01">
        <w:t>го материала.</w:t>
      </w:r>
    </w:p>
    <w:p w:rsidR="00CF601C" w:rsidRPr="00F96F01" w:rsidRDefault="00CF601C" w:rsidP="00CF601C">
      <w:pPr>
        <w:pStyle w:val="af1"/>
        <w:numPr>
          <w:ilvl w:val="0"/>
          <w:numId w:val="89"/>
        </w:numPr>
      </w:pPr>
      <w:r w:rsidRPr="00F96F01">
        <w:rPr>
          <w:i/>
        </w:rPr>
        <w:t>Радиопомехи и борьба с ними</w:t>
      </w:r>
      <w:r w:rsidRPr="00F96F01">
        <w:t>. В разделе приведена класси</w:t>
      </w:r>
      <w:r>
        <w:t>фикация п</w:t>
      </w:r>
      <w:r>
        <w:t>о</w:t>
      </w:r>
      <w:r>
        <w:t xml:space="preserve">мех, изложены вопросы, касающиеся </w:t>
      </w:r>
      <w:r w:rsidRPr="00F96F01">
        <w:t>обнаружения сигнала и его выд</w:t>
      </w:r>
      <w:r w:rsidRPr="00F96F01">
        <w:t>е</w:t>
      </w:r>
      <w:r w:rsidRPr="00F96F01">
        <w:t>ления на фоне помех.</w:t>
      </w:r>
    </w:p>
    <w:p w:rsidR="00CF601C" w:rsidRPr="00F96F01" w:rsidRDefault="00CF601C" w:rsidP="00CF601C">
      <w:pPr>
        <w:pStyle w:val="af1"/>
      </w:pPr>
      <w:r w:rsidRPr="00F96F01">
        <w:t>На базе структурно-логической схемы формируется дидактический матер</w:t>
      </w:r>
      <w:r w:rsidRPr="00F96F01">
        <w:t>и</w:t>
      </w:r>
      <w:r w:rsidRPr="00F96F01">
        <w:t>ал, который служит невербальным логически структурированным учебным п</w:t>
      </w:r>
      <w:r w:rsidRPr="00F96F01">
        <w:t>о</w:t>
      </w:r>
      <w:r w:rsidRPr="00F96F01">
        <w:t>собием (НЛСУП), используемым в учебном процессе не только педагогами, но и каждым обучающимся. Несомненно, данное учебное пособие служит действе</w:t>
      </w:r>
      <w:r w:rsidRPr="00F96F01">
        <w:t>н</w:t>
      </w:r>
      <w:r w:rsidRPr="00F96F01">
        <w:t>ным средством для организации и поддержания междисциплинарных связей на кафедральном (факультетском, вузовском) уровне и, в конечном итоге, спосо</w:t>
      </w:r>
      <w:r w:rsidRPr="00F96F01">
        <w:t>б</w:t>
      </w:r>
      <w:r w:rsidRPr="00F96F01">
        <w:t>ствует оптимизации учебной программы.</w:t>
      </w:r>
    </w:p>
    <w:p w:rsidR="00CF601C" w:rsidRPr="00F96F01" w:rsidRDefault="00CF601C" w:rsidP="00CF601C">
      <w:pPr>
        <w:pStyle w:val="af1"/>
      </w:pPr>
      <w:r w:rsidRPr="00F96F01">
        <w:rPr>
          <w:b/>
          <w:i/>
        </w:rPr>
        <w:t>Индивидуальная</w:t>
      </w:r>
      <w:r w:rsidRPr="00064241">
        <w:rPr>
          <w:b/>
          <w:i/>
        </w:rPr>
        <w:t>.</w:t>
      </w:r>
      <w:r w:rsidRPr="00F96F01">
        <w:t xml:space="preserve"> Организация учебного процесса с опорой на НЛСУП по</w:t>
      </w:r>
      <w:r w:rsidRPr="00F96F01">
        <w:t>з</w:t>
      </w:r>
      <w:r w:rsidRPr="00F96F01">
        <w:t>воляет педагогу, использующему широкий спектр методических приемов, обе</w:t>
      </w:r>
      <w:r w:rsidRPr="00F96F01">
        <w:t>с</w:t>
      </w:r>
      <w:r w:rsidRPr="00F96F01">
        <w:t>печить вовлечение обучаемых в более качественное восприятие и осознание изучаемого материала, повысить адаптивные возможности педагога по отн</w:t>
      </w:r>
      <w:r w:rsidRPr="00F96F01">
        <w:t>о</w:t>
      </w:r>
      <w:r w:rsidRPr="00F96F01">
        <w:t>шению к обучаемой аудитории. В результате педагог приобретает (соверше</w:t>
      </w:r>
      <w:r w:rsidRPr="00F96F01">
        <w:t>н</w:t>
      </w:r>
      <w:r w:rsidRPr="00F96F01">
        <w:t>ствует) качества педагога-</w:t>
      </w:r>
      <w:proofErr w:type="spellStart"/>
      <w:r w:rsidRPr="00F96F01">
        <w:t>дидакта</w:t>
      </w:r>
      <w:proofErr w:type="spellEnd"/>
      <w:r w:rsidRPr="00F96F01">
        <w:t>, а обучаемые более активно вовлекаются в процесс обучения. Тем самым создаются объективные условия для реализации в учебном процессе креативной технологии обучения.</w:t>
      </w:r>
    </w:p>
    <w:p w:rsidR="00CF601C" w:rsidRPr="00F96F01" w:rsidRDefault="00CF601C" w:rsidP="00CF601C">
      <w:pPr>
        <w:pStyle w:val="af1"/>
      </w:pPr>
      <w:r w:rsidRPr="00F96F01">
        <w:t>Кроме того, в процессе достижения открытости учебного процесса в вузе осуществляется повышение квалификации педагогов, особенно начинающих, повышение их педагогического мастерства, в том числе за счет укрепления о</w:t>
      </w:r>
      <w:r w:rsidRPr="00F96F01">
        <w:t>б</w:t>
      </w:r>
      <w:r w:rsidRPr="00F96F01">
        <w:t>ратной связи «педагог – обучаемый» при обучении.</w:t>
      </w:r>
    </w:p>
    <w:p w:rsidR="005D5267" w:rsidRPr="00380BA5" w:rsidRDefault="00CF601C" w:rsidP="00CF601C">
      <w:pPr>
        <w:pStyle w:val="af1"/>
      </w:pPr>
      <w:r w:rsidRPr="00F96F01">
        <w:t>Таким образом, открытость учебного процесса обеспечивает активное в</w:t>
      </w:r>
      <w:r w:rsidRPr="00F96F01">
        <w:t>о</w:t>
      </w:r>
      <w:r w:rsidRPr="00F96F01">
        <w:t>влечение всех участников образовательного процесс</w:t>
      </w:r>
      <w:r>
        <w:t>а</w:t>
      </w:r>
      <w:r w:rsidRPr="00F96F01">
        <w:t xml:space="preserve"> в качестве творческих соучастников усовершенствования содержания учебно-методического матер</w:t>
      </w:r>
      <w:r w:rsidRPr="00F96F01">
        <w:t>и</w:t>
      </w:r>
      <w:r w:rsidRPr="00F96F01">
        <w:t>алов. Вместе с тем изложенные особенности достижения открытости учебного процесса с целью формирования единого вузовского информационного обр</w:t>
      </w:r>
      <w:r w:rsidRPr="00F96F01">
        <w:t>а</w:t>
      </w:r>
      <w:r w:rsidRPr="00F96F01">
        <w:t>зовательного пространства позволяют выявлять квалификацию и професси</w:t>
      </w:r>
      <w:r w:rsidRPr="00F96F01">
        <w:t>о</w:t>
      </w:r>
      <w:r w:rsidRPr="00F96F01">
        <w:t>нализм педагогов как в интересах соблюдения принципа объективности атт</w:t>
      </w:r>
      <w:r w:rsidRPr="00F96F01">
        <w:t>е</w:t>
      </w:r>
      <w:r w:rsidRPr="00F96F01">
        <w:t>стации профессорско-преподавательского состава, так и для повышения пед</w:t>
      </w:r>
      <w:r w:rsidRPr="00F96F01">
        <w:t>а</w:t>
      </w:r>
      <w:r w:rsidRPr="00F96F01">
        <w:t xml:space="preserve">гогического мастерства педагогов. 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4E" w:rsidRDefault="0030154E">
      <w:r>
        <w:separator/>
      </w:r>
    </w:p>
  </w:endnote>
  <w:endnote w:type="continuationSeparator" w:id="0">
    <w:p w:rsidR="0030154E" w:rsidRDefault="0030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CF601C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CF601C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4E" w:rsidRDefault="0030154E">
      <w:r>
        <w:separator/>
      </w:r>
    </w:p>
  </w:footnote>
  <w:footnote w:type="continuationSeparator" w:id="0">
    <w:p w:rsidR="0030154E" w:rsidRDefault="0030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154E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01C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0725FD3-4810-409D-9930-CD431798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2011-10-05T19:44:00Z</dcterms:created>
  <dcterms:modified xsi:type="dcterms:W3CDTF">2011-10-05T19:44:00Z</dcterms:modified>
</cp:coreProperties>
</file>