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7" w:rsidRPr="00B027DF" w:rsidRDefault="00D50717" w:rsidP="00D50717">
      <w:pPr>
        <w:pStyle w:val="11"/>
      </w:pPr>
      <w:bookmarkStart w:id="0" w:name="_Toc304389932"/>
      <w:bookmarkStart w:id="1" w:name="_Toc304390240"/>
      <w:bookmarkStart w:id="2" w:name="_GoBack"/>
      <w:r w:rsidRPr="00B027DF">
        <w:t xml:space="preserve">Профессионально-значимые </w:t>
      </w:r>
      <w:bookmarkEnd w:id="2"/>
      <w:r>
        <w:br/>
      </w:r>
      <w:r w:rsidRPr="00B027DF">
        <w:t xml:space="preserve">компетенции выпускников вузов, </w:t>
      </w:r>
      <w:r>
        <w:br/>
      </w:r>
      <w:r w:rsidRPr="00B027DF">
        <w:t xml:space="preserve">соответствующие профилю деятельности </w:t>
      </w:r>
      <w:r>
        <w:br/>
      </w:r>
      <w:r w:rsidRPr="00B027DF">
        <w:rPr>
          <w:lang w:val="en-US"/>
        </w:rPr>
        <w:t>IT</w:t>
      </w:r>
      <w:r w:rsidRPr="00B027DF">
        <w:t>–сектора</w:t>
      </w:r>
      <w:bookmarkEnd w:id="0"/>
      <w:bookmarkEnd w:id="1"/>
    </w:p>
    <w:p w:rsidR="00D50717" w:rsidRPr="00B027DF" w:rsidRDefault="00D50717" w:rsidP="00D50717">
      <w:pPr>
        <w:pStyle w:val="22"/>
        <w:spacing w:before="120"/>
      </w:pPr>
      <w:bookmarkStart w:id="3" w:name="_Toc304389933"/>
      <w:bookmarkStart w:id="4" w:name="_Toc304390241"/>
      <w:r w:rsidRPr="00B027DF">
        <w:t>В. А. Гуртов</w:t>
      </w:r>
      <w:r>
        <w:fldChar w:fldCharType="begin"/>
      </w:r>
      <w:r>
        <w:instrText xml:space="preserve"> XE "</w:instrText>
      </w:r>
      <w:r w:rsidRPr="00177BA2">
        <w:instrText>Гуртов</w:instrText>
      </w:r>
      <w:r w:rsidRPr="00B027DF">
        <w:instrText xml:space="preserve"> </w:instrText>
      </w:r>
      <w:r w:rsidRPr="00177BA2">
        <w:instrText>В. А</w:instrText>
      </w:r>
      <w:r>
        <w:instrText xml:space="preserve">." </w:instrText>
      </w:r>
      <w:r>
        <w:fldChar w:fldCharType="end"/>
      </w:r>
      <w:r w:rsidRPr="00B027DF">
        <w:t>, В.</w:t>
      </w:r>
      <w:r>
        <w:t xml:space="preserve"> </w:t>
      </w:r>
      <w:r w:rsidRPr="00B027DF">
        <w:t>А. Голубенко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Голубенко</w:instrText>
      </w:r>
      <w:r w:rsidRPr="00B027DF">
        <w:instrText xml:space="preserve"> </w:instrText>
      </w:r>
      <w:r w:rsidRPr="00177BA2">
        <w:instrText xml:space="preserve">В. </w:instrText>
      </w:r>
      <w:r>
        <w:instrText xml:space="preserve">А." </w:instrText>
      </w:r>
      <w:r>
        <w:fldChar w:fldCharType="end"/>
      </w:r>
    </w:p>
    <w:p w:rsidR="00D50717" w:rsidRPr="00B027DF" w:rsidRDefault="00D50717" w:rsidP="00D50717">
      <w:pPr>
        <w:pStyle w:val="ad"/>
      </w:pPr>
      <w:r w:rsidRPr="00B027DF">
        <w:t>Центр бюджетного мониторинга Петрозаводского государственного университета</w:t>
      </w:r>
      <w:r>
        <w:fldChar w:fldCharType="begin"/>
      </w:r>
      <w:r>
        <w:instrText xml:space="preserve"> XE "</w:instrText>
      </w:r>
      <w:r w:rsidRPr="00177BA2">
        <w:instrText>Петрозаводск</w:instrText>
      </w:r>
      <w:r>
        <w:instrText>ий</w:instrText>
      </w:r>
      <w:r w:rsidRPr="00177BA2">
        <w:instrText xml:space="preserve"> госуда</w:instrText>
      </w:r>
      <w:r w:rsidRPr="00177BA2">
        <w:instrText>р</w:instrText>
      </w:r>
      <w:r w:rsidRPr="00177BA2">
        <w:instrText>ственн</w:instrText>
      </w:r>
      <w:r>
        <w:instrText>ый</w:instrText>
      </w:r>
      <w:r w:rsidRPr="00177BA2">
        <w:instrText xml:space="preserve"> уни</w:instrText>
      </w:r>
      <w:r>
        <w:instrText xml:space="preserve">верситет, </w:instrText>
      </w:r>
      <w:r w:rsidRPr="00177BA2">
        <w:instrText>Центр</w:instrText>
      </w:r>
      <w:r>
        <w:instrText xml:space="preserve"> бюджетного мониторинга" </w:instrText>
      </w:r>
      <w:r>
        <w:fldChar w:fldCharType="end"/>
      </w:r>
    </w:p>
    <w:p w:rsidR="00D50717" w:rsidRPr="00B027DF" w:rsidRDefault="00D50717" w:rsidP="00D50717">
      <w:pPr>
        <w:pStyle w:val="ad"/>
      </w:pPr>
      <w:r w:rsidRPr="00B027DF">
        <w:t>Петрозаводск</w:t>
      </w:r>
    </w:p>
    <w:p w:rsidR="00D50717" w:rsidRPr="00B027DF" w:rsidRDefault="00D50717" w:rsidP="00D50717">
      <w:pPr>
        <w:pStyle w:val="af"/>
        <w:spacing w:before="120"/>
        <w:rPr>
          <w:rFonts w:ascii="Classic Russian" w:hAnsi="Classic Russian"/>
          <w:sz w:val="22"/>
          <w:szCs w:val="22"/>
          <w:lang w:val="it-IT"/>
        </w:rPr>
      </w:pPr>
      <w:r w:rsidRPr="00B027DF">
        <w:rPr>
          <w:lang w:val="it-IT"/>
        </w:rPr>
        <w:t>vgurt@psu.karelia.ru</w:t>
      </w:r>
    </w:p>
    <w:p w:rsidR="00D50717" w:rsidRPr="00BB6D13" w:rsidRDefault="00D50717" w:rsidP="00D50717">
      <w:pPr>
        <w:pStyle w:val="af1"/>
        <w:rPr>
          <w:spacing w:val="4"/>
        </w:rPr>
      </w:pPr>
      <w:r w:rsidRPr="00BB6D13">
        <w:rPr>
          <w:spacing w:val="4"/>
        </w:rPr>
        <w:t>Направления модернизации и технологического развития российской экономики, повышение ее конкурентоспособности определены в Приорите</w:t>
      </w:r>
      <w:r w:rsidRPr="00BB6D13">
        <w:rPr>
          <w:spacing w:val="4"/>
        </w:rPr>
        <w:t>т</w:t>
      </w:r>
      <w:r w:rsidRPr="00BB6D13">
        <w:rPr>
          <w:spacing w:val="4"/>
        </w:rPr>
        <w:t>ных направлениях развития науки, технологий и техники, утвержденных Ук</w:t>
      </w:r>
      <w:r w:rsidRPr="00BB6D13">
        <w:rPr>
          <w:spacing w:val="4"/>
        </w:rPr>
        <w:t>а</w:t>
      </w:r>
      <w:r w:rsidRPr="00BB6D13">
        <w:rPr>
          <w:spacing w:val="4"/>
        </w:rPr>
        <w:t xml:space="preserve">зом Президента Российской Федерации от 7 июля 2011 года </w:t>
      </w:r>
      <w:r w:rsidRPr="00BB6D13">
        <w:rPr>
          <w:rFonts w:cs="Arial"/>
          <w:spacing w:val="4"/>
        </w:rPr>
        <w:t>¹</w:t>
      </w:r>
      <w:r w:rsidRPr="00BB6D13">
        <w:rPr>
          <w:rFonts w:ascii="Arial" w:hAnsi="Arial" w:cs="Arial"/>
          <w:spacing w:val="4"/>
        </w:rPr>
        <w:t> </w:t>
      </w:r>
      <w:r w:rsidRPr="00BB6D13">
        <w:rPr>
          <w:rFonts w:cs="Classic Russian"/>
          <w:spacing w:val="4"/>
        </w:rPr>
        <w:t>899</w:t>
      </w:r>
      <w:r w:rsidRPr="00BB6D13">
        <w:rPr>
          <w:spacing w:val="4"/>
        </w:rPr>
        <w:t>. Одним из них является приоритетное направление «Информационно-</w:t>
      </w:r>
      <w:proofErr w:type="spellStart"/>
      <w:r w:rsidRPr="00BB6D13">
        <w:rPr>
          <w:spacing w:val="4"/>
        </w:rPr>
        <w:t>телекоммуника</w:t>
      </w:r>
      <w:proofErr w:type="spellEnd"/>
      <w:r>
        <w:rPr>
          <w:spacing w:val="4"/>
        </w:rPr>
        <w:t>-</w:t>
      </w:r>
      <w:proofErr w:type="spellStart"/>
      <w:r w:rsidRPr="00BB6D13">
        <w:rPr>
          <w:spacing w:val="4"/>
        </w:rPr>
        <w:t>ционные</w:t>
      </w:r>
      <w:proofErr w:type="spellEnd"/>
      <w:r w:rsidRPr="00BB6D13">
        <w:rPr>
          <w:spacing w:val="4"/>
        </w:rPr>
        <w:t xml:space="preserve"> системы» (ИТС), успешное развитие которого во многом определ</w:t>
      </w:r>
      <w:r w:rsidRPr="00BB6D13">
        <w:rPr>
          <w:spacing w:val="4"/>
        </w:rPr>
        <w:t>я</w:t>
      </w:r>
      <w:r w:rsidRPr="00BB6D13">
        <w:rPr>
          <w:spacing w:val="4"/>
        </w:rPr>
        <w:t>ет формирование инновационной экономики.</w:t>
      </w:r>
    </w:p>
    <w:p w:rsidR="00D50717" w:rsidRPr="00BB6D13" w:rsidRDefault="00D50717" w:rsidP="00D50717">
      <w:pPr>
        <w:pStyle w:val="af1"/>
        <w:rPr>
          <w:spacing w:val="4"/>
        </w:rPr>
      </w:pPr>
      <w:r w:rsidRPr="00BB6D13">
        <w:rPr>
          <w:spacing w:val="4"/>
        </w:rPr>
        <w:t xml:space="preserve">Проводимые ранее исследования показали, что для </w:t>
      </w:r>
      <w:r w:rsidRPr="00BB6D13">
        <w:rPr>
          <w:spacing w:val="4"/>
          <w:lang w:val="en-US"/>
        </w:rPr>
        <w:t>IT</w:t>
      </w:r>
      <w:r w:rsidRPr="00BB6D13">
        <w:rPr>
          <w:spacing w:val="4"/>
        </w:rPr>
        <w:t>-сектора росси</w:t>
      </w:r>
      <w:r w:rsidRPr="00BB6D13">
        <w:rPr>
          <w:spacing w:val="4"/>
        </w:rPr>
        <w:t>й</w:t>
      </w:r>
      <w:r w:rsidRPr="00BB6D13">
        <w:rPr>
          <w:spacing w:val="4"/>
        </w:rPr>
        <w:t>ской экономики дисбаланс между спросом и предложением по професси</w:t>
      </w:r>
      <w:r w:rsidRPr="00BB6D13">
        <w:rPr>
          <w:spacing w:val="4"/>
        </w:rPr>
        <w:t>о</w:t>
      </w:r>
      <w:r w:rsidRPr="00BB6D13">
        <w:rPr>
          <w:spacing w:val="4"/>
        </w:rPr>
        <w:t>нально-квалификационному составу и качеству подготовки специалистов проявляется с особой остротой [1]. С одной стороны, численность выпускн</w:t>
      </w:r>
      <w:r w:rsidRPr="00BB6D13">
        <w:rPr>
          <w:spacing w:val="4"/>
        </w:rPr>
        <w:t>и</w:t>
      </w:r>
      <w:r w:rsidRPr="00BB6D13">
        <w:rPr>
          <w:spacing w:val="4"/>
        </w:rPr>
        <w:t xml:space="preserve">ков ВПО по профилю подготовки ИТС вполне покрывает потребности </w:t>
      </w:r>
      <w:r w:rsidRPr="00BB6D13">
        <w:rPr>
          <w:spacing w:val="4"/>
          <w:lang w:val="en-US"/>
        </w:rPr>
        <w:t>IT</w:t>
      </w:r>
      <w:r w:rsidRPr="00BB6D13">
        <w:rPr>
          <w:spacing w:val="4"/>
        </w:rPr>
        <w:t>-сектора в кадрах. С другой стороны, выпускники ВПО по профилю подготовки ИТС востребованы во всех других секторах экономики, поэтому выпуск с</w:t>
      </w:r>
      <w:r w:rsidRPr="00BB6D13">
        <w:rPr>
          <w:spacing w:val="4"/>
        </w:rPr>
        <w:t>и</w:t>
      </w:r>
      <w:r w:rsidRPr="00BB6D13">
        <w:rPr>
          <w:spacing w:val="4"/>
        </w:rPr>
        <w:t>стемы ВПО не покрывает общую потребность в них экономики. Для приор</w:t>
      </w:r>
      <w:r w:rsidRPr="00BB6D13">
        <w:rPr>
          <w:spacing w:val="4"/>
        </w:rPr>
        <w:t>и</w:t>
      </w:r>
      <w:r w:rsidRPr="00BB6D13">
        <w:rPr>
          <w:spacing w:val="4"/>
        </w:rPr>
        <w:t>тетного направления «Информационно-телекоммуникационные системы» (ИТС) для работодателя наиболее остро стоит вопрос о качестве подготовки выпускников, т.</w:t>
      </w:r>
      <w:r w:rsidRPr="00BB6D13">
        <w:rPr>
          <w:rFonts w:ascii="Arial" w:hAnsi="Arial" w:cs="Arial"/>
          <w:spacing w:val="4"/>
        </w:rPr>
        <w:t> </w:t>
      </w:r>
      <w:r w:rsidRPr="00BB6D13">
        <w:rPr>
          <w:rFonts w:cs="Classic Russian"/>
          <w:spacing w:val="4"/>
        </w:rPr>
        <w:t>е</w:t>
      </w:r>
      <w:r w:rsidRPr="00BB6D13">
        <w:rPr>
          <w:spacing w:val="4"/>
        </w:rPr>
        <w:t>. о наличии профессионально-значимых компетенций в</w:t>
      </w:r>
      <w:r w:rsidRPr="00BB6D13">
        <w:rPr>
          <w:spacing w:val="4"/>
        </w:rPr>
        <w:t>ы</w:t>
      </w:r>
      <w:r w:rsidRPr="00BB6D13">
        <w:rPr>
          <w:spacing w:val="4"/>
        </w:rPr>
        <w:t>пускников вузов, соответствующих профилю деятельности IT-сектора.</w:t>
      </w:r>
    </w:p>
    <w:p w:rsidR="00D50717" w:rsidRPr="00B027DF" w:rsidRDefault="00D50717" w:rsidP="00D50717">
      <w:pPr>
        <w:pStyle w:val="af1"/>
      </w:pPr>
      <w:r w:rsidRPr="00B027DF">
        <w:t>Под профессиональными компетенциями понимается способность прим</w:t>
      </w:r>
      <w:r w:rsidRPr="00B027DF">
        <w:t>е</w:t>
      </w:r>
      <w:r w:rsidRPr="00B027DF">
        <w:t>нять знания, умения и практический опыт для</w:t>
      </w:r>
      <w:r>
        <w:t xml:space="preserve"> </w:t>
      </w:r>
      <w:r w:rsidRPr="00B027DF">
        <w:t>успешной деятельности в опр</w:t>
      </w:r>
      <w:r w:rsidRPr="00B027DF">
        <w:t>е</w:t>
      </w:r>
      <w:r w:rsidRPr="00B027DF">
        <w:t>деленной области. Личностные качества, характеризующие деятельность р</w:t>
      </w:r>
      <w:r w:rsidRPr="00B027DF">
        <w:t>а</w:t>
      </w:r>
      <w:r w:rsidRPr="00B027DF">
        <w:t>ботников в сфере организации и управления производством</w:t>
      </w:r>
      <w:r>
        <w:t>,</w:t>
      </w:r>
      <w:r w:rsidRPr="00B027DF">
        <w:t xml:space="preserve"> относятся к соц</w:t>
      </w:r>
      <w:r w:rsidRPr="00B027DF">
        <w:t>и</w:t>
      </w:r>
      <w:r w:rsidRPr="00B027DF">
        <w:t>ально-личностным и общекультурным компетенциям.</w:t>
      </w:r>
    </w:p>
    <w:p w:rsidR="00D50717" w:rsidRPr="00B027DF" w:rsidRDefault="00D50717" w:rsidP="00D50717">
      <w:pPr>
        <w:pStyle w:val="af1"/>
      </w:pPr>
      <w:r w:rsidRPr="00B027DF">
        <w:t>В рамках обновленного перечня критических технологий согласно Указу Президента РФ от</w:t>
      </w:r>
      <w:r>
        <w:t xml:space="preserve"> </w:t>
      </w:r>
      <w:r w:rsidRPr="00B027DF">
        <w:t>7 июля 2011 г</w:t>
      </w:r>
      <w:r>
        <w:t>. ¹</w:t>
      </w:r>
      <w:r w:rsidRPr="00B027DF">
        <w:t xml:space="preserve"> 899 к приоритетному направлению «Инфо</w:t>
      </w:r>
      <w:r w:rsidRPr="00B027DF">
        <w:t>р</w:t>
      </w:r>
      <w:r w:rsidRPr="00B027DF">
        <w:t>мационно-телекоммуникационные системы» относятся следующие критические технологии:</w:t>
      </w:r>
    </w:p>
    <w:p w:rsidR="00D50717" w:rsidRPr="00B027DF" w:rsidRDefault="00D50717" w:rsidP="00D50717">
      <w:pPr>
        <w:pStyle w:val="afffff1"/>
        <w:numPr>
          <w:ilvl w:val="0"/>
          <w:numId w:val="43"/>
        </w:numPr>
      </w:pPr>
      <w:r w:rsidRPr="00B027DF">
        <w:t>Технологии и программное обеспечение распределенных и высокопроизв</w:t>
      </w:r>
      <w:r w:rsidRPr="00B027DF">
        <w:t>о</w:t>
      </w:r>
      <w:r w:rsidRPr="00B027DF">
        <w:t>дительных вычислительных систем;</w:t>
      </w:r>
    </w:p>
    <w:p w:rsidR="00D50717" w:rsidRPr="00B027DF" w:rsidRDefault="00D50717" w:rsidP="00D50717">
      <w:pPr>
        <w:pStyle w:val="afffff1"/>
        <w:numPr>
          <w:ilvl w:val="0"/>
          <w:numId w:val="43"/>
        </w:numPr>
      </w:pPr>
      <w:r w:rsidRPr="00B027DF">
        <w:t>Технологии информационных, управляющих, навигационных систем;</w:t>
      </w:r>
    </w:p>
    <w:p w:rsidR="00D50717" w:rsidRPr="00B027DF" w:rsidRDefault="00D50717" w:rsidP="00D50717">
      <w:pPr>
        <w:pStyle w:val="afffff1"/>
        <w:numPr>
          <w:ilvl w:val="0"/>
          <w:numId w:val="43"/>
        </w:numPr>
      </w:pPr>
      <w:r w:rsidRPr="00B027DF">
        <w:t>Нан</w:t>
      </w:r>
      <w:proofErr w:type="gramStart"/>
      <w:r w:rsidRPr="00B027DF">
        <w:t>о-</w:t>
      </w:r>
      <w:proofErr w:type="gramEnd"/>
      <w:r w:rsidRPr="00B027DF">
        <w:t xml:space="preserve">, </w:t>
      </w:r>
      <w:proofErr w:type="spellStart"/>
      <w:r w:rsidRPr="00B027DF">
        <w:t>био</w:t>
      </w:r>
      <w:proofErr w:type="spellEnd"/>
      <w:r w:rsidRPr="00B027DF">
        <w:t>-, информационные, когнитивные технологии;</w:t>
      </w:r>
    </w:p>
    <w:p w:rsidR="00D50717" w:rsidRPr="00B027DF" w:rsidRDefault="00D50717" w:rsidP="00D50717">
      <w:pPr>
        <w:pStyle w:val="afffff1"/>
        <w:numPr>
          <w:ilvl w:val="0"/>
          <w:numId w:val="43"/>
        </w:numPr>
      </w:pPr>
      <w:r w:rsidRPr="00B027DF">
        <w:t xml:space="preserve">Технологии создания электронной компонентной базы и </w:t>
      </w:r>
      <w:proofErr w:type="spellStart"/>
      <w:r w:rsidRPr="00B027DF">
        <w:t>энергоэффективных</w:t>
      </w:r>
      <w:proofErr w:type="spellEnd"/>
      <w:r w:rsidRPr="00B027DF">
        <w:t xml:space="preserve"> световых устройств.</w:t>
      </w:r>
    </w:p>
    <w:p w:rsidR="00D50717" w:rsidRPr="00B027DF" w:rsidRDefault="00D50717" w:rsidP="00D50717">
      <w:pPr>
        <w:pStyle w:val="af1"/>
      </w:pPr>
      <w:r w:rsidRPr="00B027DF">
        <w:t>Принадлежность направления подготовки/специальности ВПО приорите</w:t>
      </w:r>
      <w:r w:rsidRPr="00B027DF">
        <w:t>т</w:t>
      </w:r>
      <w:r w:rsidRPr="00B027DF">
        <w:t>ному направлению ИТС в рамках перечня критических технологий определ</w:t>
      </w:r>
      <w:r w:rsidRPr="00B027DF">
        <w:t>я</w:t>
      </w:r>
      <w:r w:rsidRPr="00B027DF">
        <w:t>лась методом экспертной оценки с использованием перечня направлений по</w:t>
      </w:r>
      <w:r w:rsidRPr="00B027DF">
        <w:t>д</w:t>
      </w:r>
      <w:r w:rsidRPr="00B027DF">
        <w:t xml:space="preserve">готовки высшего профессионального образования РФ [2] и Общероссийского классификатора специальностей по образованию </w:t>
      </w:r>
      <w:proofErr w:type="gramStart"/>
      <w:r w:rsidRPr="00B027DF">
        <w:t>ОК</w:t>
      </w:r>
      <w:proofErr w:type="gramEnd"/>
      <w:r w:rsidRPr="00B027DF">
        <w:t xml:space="preserve"> 009-2003.</w:t>
      </w:r>
    </w:p>
    <w:p w:rsidR="00D50717" w:rsidRPr="00B027DF" w:rsidRDefault="00D50717" w:rsidP="00D50717">
      <w:pPr>
        <w:pStyle w:val="af1"/>
      </w:pPr>
      <w:r w:rsidRPr="00B027DF">
        <w:t xml:space="preserve"> Полученный перечень направлений подготовки и специальностей ВПО для приоритетного направления ИТС приведен ниже.</w:t>
      </w:r>
    </w:p>
    <w:p w:rsidR="00D50717" w:rsidRPr="00B027DF" w:rsidRDefault="00D50717" w:rsidP="00D50717">
      <w:pPr>
        <w:pStyle w:val="-3"/>
        <w:spacing w:after="120"/>
      </w:pPr>
      <w:r w:rsidRPr="00B027DF">
        <w:t xml:space="preserve">Направления подготовки/специальности ВПО, соответствующие профилю деятельности приоритетного направления «Информационно-телекоммуникационные системы», </w:t>
      </w:r>
      <w:r>
        <w:br/>
      </w:r>
      <w:r w:rsidRPr="00B027DF">
        <w:t>в рамках обновленного перечня критических технологий</w:t>
      </w:r>
    </w:p>
    <w:tbl>
      <w:tblPr>
        <w:tblW w:w="83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851"/>
        <w:gridCol w:w="4515"/>
      </w:tblGrid>
      <w:tr w:rsidR="00D50717" w:rsidRPr="00B027DF" w:rsidTr="0008373C">
        <w:trPr>
          <w:trHeight w:val="368"/>
        </w:trPr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010000 ФИЗИКО-МАТЕМАТИЧЕСКИЕ НАУКИ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010200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Математика и компьютерные науки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010300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Фундаментальные информатика и информационные технологии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010400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Прикладная математика и информатика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010500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Математическое обеспечение и администрирование информационных систем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020000 ЕСТЕСТВЕННЫЕ НАУКИ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021300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 xml:space="preserve">Картография и </w:t>
            </w:r>
            <w:proofErr w:type="spellStart"/>
            <w:r w:rsidRPr="00B027DF">
              <w:rPr>
                <w:rFonts w:ascii="Arial" w:hAnsi="Arial" w:cs="Arial"/>
                <w:sz w:val="16"/>
                <w:szCs w:val="16"/>
              </w:rPr>
              <w:t>геоинформатика</w:t>
            </w:r>
            <w:proofErr w:type="spellEnd"/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020501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 xml:space="preserve">Биоинженерия и </w:t>
            </w:r>
            <w:proofErr w:type="spellStart"/>
            <w:r w:rsidRPr="00B027DF">
              <w:rPr>
                <w:rFonts w:ascii="Arial" w:hAnsi="Arial" w:cs="Arial"/>
                <w:sz w:val="16"/>
                <w:szCs w:val="16"/>
              </w:rPr>
              <w:t>биоинформатика</w:t>
            </w:r>
            <w:proofErr w:type="spellEnd"/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030000 ГУМАНИТАРНЫЕ НАУКИ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036000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 xml:space="preserve">Интеллектуальные системы в гуманитарной сфере 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070000 КУЛЬТУРА И ИСКУССТВО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071900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 xml:space="preserve">Библиотечно-информационная деятельность 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080000 ЭКОНОМИКА И </w:t>
            </w: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080500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Бизнес-информатика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090000 ИНФОРМАЦИОННАЯ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090900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Информационная безопасность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090301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Компьютерная безопасность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090302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Информационная безопасность телекоммуникационных систем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090303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Информационная безопасность автоматизированных систем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090305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Информационно-аналитические системы безопасности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090915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 xml:space="preserve">Безопасность информационных технологий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027DF">
              <w:rPr>
                <w:rFonts w:ascii="Arial" w:hAnsi="Arial" w:cs="Arial"/>
                <w:sz w:val="16"/>
                <w:szCs w:val="16"/>
              </w:rPr>
              <w:t>в правоохранительной сфере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160000 АВИАЦИОННАЯ И РАКЕТНО-КОСМИЧЕСКАЯ ТЕХНИКА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161100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Системы управления движением и навигацией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161101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Системы управления летательными аппаратами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161400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Интегрированные системы летательных аппаратов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210000 ЭЛЕКТРОННАЯ ТЕХНИКА, РАДИОТЕХНИКА И СВЯЗЬ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210700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27DF">
              <w:rPr>
                <w:rFonts w:ascii="Arial" w:hAnsi="Arial" w:cs="Arial"/>
                <w:sz w:val="16"/>
                <w:szCs w:val="16"/>
              </w:rPr>
              <w:t>Инфоркоммуникационные</w:t>
            </w:r>
            <w:proofErr w:type="spellEnd"/>
            <w:r w:rsidRPr="00B027DF">
              <w:rPr>
                <w:rFonts w:ascii="Arial" w:hAnsi="Arial" w:cs="Arial"/>
                <w:sz w:val="16"/>
                <w:szCs w:val="16"/>
              </w:rPr>
              <w:t xml:space="preserve"> технологии и системы связи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>220000 АВТОМАТИКА И УПРАВЛЕНИЕ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220100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Системный анализ и управление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220700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 xml:space="preserve">Автоматизация технологических процессов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027DF">
              <w:rPr>
                <w:rFonts w:ascii="Arial" w:hAnsi="Arial" w:cs="Arial"/>
                <w:sz w:val="16"/>
                <w:szCs w:val="16"/>
              </w:rPr>
              <w:t>и производств (проект)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220402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Специальные организационно-технические системы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7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230000 ИНФОРМАТИКА И ВЫЧИСЛИТЕЛЬНАЯ ТЕХНИКА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230100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230400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Информационные системы и технологии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230700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Прикладная информатика</w:t>
            </w:r>
          </w:p>
        </w:tc>
      </w:tr>
      <w:tr w:rsidR="00D50717" w:rsidRPr="00B027DF" w:rsidTr="0008373C">
        <w:trPr>
          <w:trHeight w:val="368"/>
        </w:trPr>
        <w:tc>
          <w:tcPr>
            <w:tcW w:w="2963" w:type="dxa"/>
            <w:vMerge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231300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D50717" w:rsidRPr="00B027DF" w:rsidRDefault="00D50717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7DF">
              <w:rPr>
                <w:rFonts w:ascii="Arial" w:hAnsi="Arial" w:cs="Arial"/>
                <w:sz w:val="16"/>
                <w:szCs w:val="16"/>
              </w:rPr>
              <w:t>Прикладная математика</w:t>
            </w:r>
          </w:p>
        </w:tc>
      </w:tr>
    </w:tbl>
    <w:p w:rsidR="00D50717" w:rsidRPr="00B027DF" w:rsidRDefault="00D50717" w:rsidP="00D50717">
      <w:pPr>
        <w:pStyle w:val="af1"/>
        <w:rPr>
          <w:i/>
        </w:rPr>
      </w:pPr>
    </w:p>
    <w:p w:rsidR="00D50717" w:rsidRPr="00B027DF" w:rsidRDefault="00D50717" w:rsidP="00D50717">
      <w:pPr>
        <w:pStyle w:val="af1"/>
      </w:pPr>
      <w:r w:rsidRPr="00B027DF">
        <w:t>На основании анализа федеральных государственных образовательных стандартов (ФГОС) по направлениям подготовки бакалавров/магистров и по специальностям ВПО был сформирован перечень профессионально-значимых компетенций для реализации технологических инноваций в секторе ИТС в ра</w:t>
      </w:r>
      <w:r w:rsidRPr="00B027DF">
        <w:t>з</w:t>
      </w:r>
      <w:r w:rsidRPr="00B027DF">
        <w:t xml:space="preserve">резе четырех основных групп: общепрофессиональные, научно-исследовательские, производственно-технологические и проектно-конструкторские компетенции. </w:t>
      </w:r>
    </w:p>
    <w:p w:rsidR="00D50717" w:rsidRPr="00B027DF" w:rsidRDefault="00D50717" w:rsidP="00D50717">
      <w:pPr>
        <w:pStyle w:val="af1"/>
      </w:pPr>
      <w:r w:rsidRPr="00B027DF">
        <w:t>Экспертным путем с использованием ключевых морфем внутри каждой группы был сформирован перечень из 20</w:t>
      </w:r>
      <w:r w:rsidRPr="00B027DF">
        <w:softHyphen/>
      </w:r>
      <w:r w:rsidRPr="00B027DF">
        <w:softHyphen/>
        <w:t xml:space="preserve"> уникальных профессионально-значимых компетенций, учитывающих синонимичность и тождественность смысловой нагрузки формулировок компетенций, используемых во </w:t>
      </w:r>
      <w:proofErr w:type="spellStart"/>
      <w:r w:rsidRPr="00B027DF">
        <w:t>ФГОСах</w:t>
      </w:r>
      <w:proofErr w:type="spellEnd"/>
      <w:r w:rsidRPr="00B027DF">
        <w:t>. Этот перечень затем сортировался по убыванию частоты вхождения компете</w:t>
      </w:r>
      <w:r w:rsidRPr="00B027DF">
        <w:t>н</w:t>
      </w:r>
      <w:r w:rsidRPr="00B027DF">
        <w:t xml:space="preserve">ций во </w:t>
      </w:r>
      <w:proofErr w:type="spellStart"/>
      <w:r w:rsidRPr="00B027DF">
        <w:t>ФГОСы</w:t>
      </w:r>
      <w:proofErr w:type="spellEnd"/>
      <w:r>
        <w:t>,</w:t>
      </w:r>
      <w:r w:rsidRPr="00B027DF">
        <w:t xml:space="preserve"> и в него вошли следующие профессионально-значимые комп</w:t>
      </w:r>
      <w:r w:rsidRPr="00B027DF">
        <w:t>е</w:t>
      </w:r>
      <w:r w:rsidRPr="00B027DF">
        <w:t xml:space="preserve">тенции для каждой из </w:t>
      </w:r>
      <w:r>
        <w:t>четырех</w:t>
      </w:r>
      <w:r w:rsidRPr="00B027DF">
        <w:t xml:space="preserve"> групп:</w:t>
      </w:r>
    </w:p>
    <w:p w:rsidR="00D50717" w:rsidRPr="00B027DF" w:rsidRDefault="00D50717" w:rsidP="00D50717">
      <w:pPr>
        <w:pStyle w:val="af1"/>
      </w:pPr>
      <w:r w:rsidRPr="00B027DF">
        <w:rPr>
          <w:b/>
          <w:i/>
        </w:rPr>
        <w:lastRenderedPageBreak/>
        <w:t>общепрофессиональн</w:t>
      </w:r>
      <w:r>
        <w:rPr>
          <w:b/>
          <w:i/>
        </w:rPr>
        <w:t>ые</w:t>
      </w:r>
      <w:r w:rsidRPr="00B027DF">
        <w:rPr>
          <w:b/>
          <w:i/>
        </w:rPr>
        <w:t xml:space="preserve"> компетенци</w:t>
      </w:r>
      <w:r>
        <w:rPr>
          <w:b/>
          <w:i/>
        </w:rPr>
        <w:t>и</w:t>
      </w:r>
      <w:r w:rsidRPr="00B027DF">
        <w:rPr>
          <w:b/>
          <w:i/>
        </w:rPr>
        <w:t>:</w:t>
      </w:r>
      <w:r w:rsidRPr="00B027DF">
        <w:t xml:space="preserve"> </w:t>
      </w:r>
    </w:p>
    <w:p w:rsidR="00D50717" w:rsidRPr="00B027DF" w:rsidRDefault="00D50717" w:rsidP="00D50717">
      <w:pPr>
        <w:pStyle w:val="af1"/>
        <w:numPr>
          <w:ilvl w:val="0"/>
          <w:numId w:val="65"/>
        </w:numPr>
      </w:pPr>
      <w:r w:rsidRPr="00B027DF">
        <w:t>способность использовать основные естественнонаучные законы, пр</w:t>
      </w:r>
      <w:r w:rsidRPr="00B027DF">
        <w:t>и</w:t>
      </w:r>
      <w:r w:rsidRPr="00B027DF">
        <w:t>менять математический аппарат в профессиональной деятельности, в</w:t>
      </w:r>
      <w:r w:rsidRPr="00B027DF">
        <w:t>ы</w:t>
      </w:r>
      <w:r w:rsidRPr="00B027DF">
        <w:t>являть сущность проблем, возникающих в ходе профессиональной де</w:t>
      </w:r>
      <w:r w:rsidRPr="00B027DF">
        <w:t>я</w:t>
      </w:r>
      <w:r w:rsidRPr="00B027DF">
        <w:t>тельности;</w:t>
      </w:r>
    </w:p>
    <w:p w:rsidR="00D50717" w:rsidRPr="00B027DF" w:rsidRDefault="00D50717" w:rsidP="00D50717">
      <w:pPr>
        <w:pStyle w:val="af1"/>
        <w:numPr>
          <w:ilvl w:val="0"/>
          <w:numId w:val="65"/>
        </w:numPr>
      </w:pPr>
      <w:r w:rsidRPr="00B027DF">
        <w:t>способность учитывать современные тенденции развития информатики и вычислительной техники, компьютерных технологий в профессионал</w:t>
      </w:r>
      <w:r w:rsidRPr="00B027DF">
        <w:t>ь</w:t>
      </w:r>
      <w:r w:rsidRPr="00B027DF">
        <w:t xml:space="preserve">ной деятельности; </w:t>
      </w:r>
    </w:p>
    <w:p w:rsidR="00D50717" w:rsidRPr="00B027DF" w:rsidRDefault="00D50717" w:rsidP="00D50717">
      <w:pPr>
        <w:pStyle w:val="af1"/>
        <w:numPr>
          <w:ilvl w:val="0"/>
          <w:numId w:val="65"/>
        </w:numPr>
      </w:pPr>
      <w:r w:rsidRPr="00B027DF">
        <w:t>способность организовывать и поддерживать выполнение комплекса мер по информационной безопасности, управлять процессом их реализации с учетом решаемых задач и организационной структуры объекта защиты, внешних воздействий, вероятных угроз и уровня развития технологий защиты информации;</w:t>
      </w:r>
    </w:p>
    <w:p w:rsidR="00D50717" w:rsidRPr="00B027DF" w:rsidRDefault="00D50717" w:rsidP="00D50717">
      <w:pPr>
        <w:pStyle w:val="af1"/>
        <w:numPr>
          <w:ilvl w:val="0"/>
          <w:numId w:val="65"/>
        </w:numPr>
      </w:pPr>
      <w:r w:rsidRPr="00B027DF">
        <w:t>способность использовать языки, системы и инструментальные средства программирования в профессиональной деятельности;</w:t>
      </w:r>
    </w:p>
    <w:p w:rsidR="00D50717" w:rsidRPr="00B027DF" w:rsidRDefault="00D50717" w:rsidP="00D50717">
      <w:pPr>
        <w:pStyle w:val="af1"/>
        <w:rPr>
          <w:b/>
        </w:rPr>
      </w:pPr>
      <w:r w:rsidRPr="00B027DF">
        <w:rPr>
          <w:b/>
          <w:i/>
        </w:rPr>
        <w:t>научно-исследовательски</w:t>
      </w:r>
      <w:r>
        <w:rPr>
          <w:b/>
          <w:i/>
        </w:rPr>
        <w:t>е компетенции</w:t>
      </w:r>
      <w:r w:rsidRPr="00B027DF">
        <w:rPr>
          <w:b/>
          <w:i/>
        </w:rPr>
        <w:t>:</w:t>
      </w:r>
    </w:p>
    <w:p w:rsidR="00D50717" w:rsidRPr="00B027DF" w:rsidRDefault="00D50717" w:rsidP="00D50717">
      <w:pPr>
        <w:pStyle w:val="af1"/>
        <w:numPr>
          <w:ilvl w:val="0"/>
          <w:numId w:val="64"/>
        </w:numPr>
      </w:pPr>
      <w:r w:rsidRPr="00B027DF">
        <w:t>способность готовить обзоры научной литературы и электронных и</w:t>
      </w:r>
      <w:r w:rsidRPr="00B027DF">
        <w:t>н</w:t>
      </w:r>
      <w:r w:rsidRPr="00B027DF">
        <w:t>формационно-образовательных ресурсов для профессиональной де</w:t>
      </w:r>
      <w:r w:rsidRPr="00B027DF">
        <w:t>я</w:t>
      </w:r>
      <w:r w:rsidRPr="00B027DF">
        <w:t>тельности;</w:t>
      </w:r>
    </w:p>
    <w:p w:rsidR="00D50717" w:rsidRPr="00B027DF" w:rsidRDefault="00D50717" w:rsidP="00D50717">
      <w:pPr>
        <w:pStyle w:val="af1"/>
        <w:numPr>
          <w:ilvl w:val="0"/>
          <w:numId w:val="64"/>
        </w:numPr>
      </w:pPr>
      <w:r w:rsidRPr="00B027DF">
        <w:t>умение</w:t>
      </w:r>
      <w:r>
        <w:t xml:space="preserve"> </w:t>
      </w:r>
      <w:r w:rsidRPr="00B027DF">
        <w:t>готовить</w:t>
      </w:r>
      <w:r>
        <w:t xml:space="preserve"> </w:t>
      </w:r>
      <w:r w:rsidRPr="00B027DF">
        <w:t>презентации,</w:t>
      </w:r>
      <w:r>
        <w:t xml:space="preserve"> </w:t>
      </w:r>
      <w:r w:rsidRPr="00B027DF">
        <w:t>оформлять</w:t>
      </w:r>
      <w:r>
        <w:t xml:space="preserve"> </w:t>
      </w:r>
      <w:r w:rsidRPr="00B027DF">
        <w:t>научно-технические отчеты по результатам выполненной работы, публиковать результаты исследов</w:t>
      </w:r>
      <w:r w:rsidRPr="00B027DF">
        <w:t>а</w:t>
      </w:r>
      <w:r w:rsidRPr="00B027DF">
        <w:t>ний</w:t>
      </w:r>
      <w:r>
        <w:t xml:space="preserve"> </w:t>
      </w:r>
      <w:r w:rsidRPr="00B027DF">
        <w:t>в</w:t>
      </w:r>
      <w:r>
        <w:t xml:space="preserve"> </w:t>
      </w:r>
      <w:r w:rsidRPr="00B027DF">
        <w:t>виде</w:t>
      </w:r>
      <w:r>
        <w:t xml:space="preserve"> </w:t>
      </w:r>
      <w:r w:rsidRPr="00B027DF">
        <w:t>статей</w:t>
      </w:r>
      <w:r>
        <w:t xml:space="preserve"> </w:t>
      </w:r>
      <w:r w:rsidRPr="00B027DF">
        <w:t>и</w:t>
      </w:r>
      <w:r>
        <w:t xml:space="preserve"> </w:t>
      </w:r>
      <w:r w:rsidRPr="00B027DF">
        <w:t>докладов</w:t>
      </w:r>
      <w:r>
        <w:t xml:space="preserve"> </w:t>
      </w:r>
      <w:r w:rsidRPr="00B027DF">
        <w:t>на</w:t>
      </w:r>
      <w:r>
        <w:t xml:space="preserve"> </w:t>
      </w:r>
      <w:r w:rsidRPr="00B027DF">
        <w:t>научно-технических конференциях;</w:t>
      </w:r>
    </w:p>
    <w:p w:rsidR="00D50717" w:rsidRPr="00B027DF" w:rsidRDefault="00D50717" w:rsidP="00D50717">
      <w:pPr>
        <w:pStyle w:val="af1"/>
        <w:numPr>
          <w:ilvl w:val="0"/>
          <w:numId w:val="64"/>
        </w:numPr>
      </w:pPr>
      <w:r w:rsidRPr="00B027DF">
        <w:t>способность передавать результат проведенных физико-математических и прикладных исследований в виде конкретных рекомендаций, выраже</w:t>
      </w:r>
      <w:r w:rsidRPr="00B027DF">
        <w:t>н</w:t>
      </w:r>
      <w:r w:rsidRPr="00B027DF">
        <w:t>н</w:t>
      </w:r>
      <w:r>
        <w:t>ых</w:t>
      </w:r>
      <w:r w:rsidRPr="00B027DF">
        <w:t xml:space="preserve"> в терминах предметной области </w:t>
      </w:r>
      <w:proofErr w:type="spellStart"/>
      <w:r w:rsidRPr="00B027DF">
        <w:t>изучавшегося</w:t>
      </w:r>
      <w:proofErr w:type="spellEnd"/>
      <w:r w:rsidRPr="00B027DF">
        <w:t xml:space="preserve"> явления;</w:t>
      </w:r>
    </w:p>
    <w:p w:rsidR="00D50717" w:rsidRPr="00B027DF" w:rsidRDefault="00D50717" w:rsidP="00D50717">
      <w:pPr>
        <w:pStyle w:val="af1"/>
        <w:numPr>
          <w:ilvl w:val="0"/>
          <w:numId w:val="64"/>
        </w:numPr>
      </w:pPr>
      <w:r w:rsidRPr="00B027DF">
        <w:t>способность приобретать новые научные и профессиональные знания, используя современные образовательные и информационные технол</w:t>
      </w:r>
      <w:r w:rsidRPr="00B027DF">
        <w:t>о</w:t>
      </w:r>
      <w:r w:rsidRPr="00B027DF">
        <w:t>гии;</w:t>
      </w:r>
    </w:p>
    <w:p w:rsidR="00D50717" w:rsidRPr="00B027DF" w:rsidRDefault="00D50717" w:rsidP="00D50717">
      <w:pPr>
        <w:pStyle w:val="af1"/>
        <w:rPr>
          <w:b/>
        </w:rPr>
      </w:pPr>
      <w:r w:rsidRPr="00B027DF">
        <w:rPr>
          <w:b/>
          <w:i/>
        </w:rPr>
        <w:t>производственно-технологически</w:t>
      </w:r>
      <w:r>
        <w:rPr>
          <w:b/>
          <w:i/>
        </w:rPr>
        <w:t>е компетенции</w:t>
      </w:r>
      <w:r w:rsidRPr="00B027DF">
        <w:rPr>
          <w:b/>
          <w:i/>
        </w:rPr>
        <w:t>:</w:t>
      </w:r>
    </w:p>
    <w:p w:rsidR="00D50717" w:rsidRPr="00B027DF" w:rsidRDefault="00D50717" w:rsidP="00D50717">
      <w:pPr>
        <w:pStyle w:val="af1"/>
        <w:numPr>
          <w:ilvl w:val="0"/>
          <w:numId w:val="63"/>
        </w:numPr>
      </w:pPr>
      <w:r w:rsidRPr="00B027DF">
        <w:t>способность решать задачи производственной и технологической де</w:t>
      </w:r>
      <w:r w:rsidRPr="00B027DF">
        <w:t>я</w:t>
      </w:r>
      <w:r w:rsidRPr="00B027DF">
        <w:t>тельности на профессиональном уровне, включая: разработку алгори</w:t>
      </w:r>
      <w:r w:rsidRPr="00B027DF">
        <w:t>т</w:t>
      </w:r>
      <w:r w:rsidRPr="00B027DF">
        <w:t>мических и программных решений в области системного и прикладного программирования;</w:t>
      </w:r>
    </w:p>
    <w:p w:rsidR="00D50717" w:rsidRPr="00B027DF" w:rsidRDefault="00D50717" w:rsidP="00D50717">
      <w:pPr>
        <w:pStyle w:val="af1"/>
        <w:numPr>
          <w:ilvl w:val="0"/>
          <w:numId w:val="63"/>
        </w:numPr>
      </w:pPr>
      <w:r w:rsidRPr="00B027DF">
        <w:t>способность применять технологии обеспечения информационной бе</w:t>
      </w:r>
      <w:r w:rsidRPr="00B027DF">
        <w:t>з</w:t>
      </w:r>
      <w:r w:rsidRPr="00B027DF">
        <w:t>опасности телекоммуникационных систем и нормы их интеграции в гос</w:t>
      </w:r>
      <w:r w:rsidRPr="00B027DF">
        <w:t>у</w:t>
      </w:r>
      <w:r w:rsidRPr="00B027DF">
        <w:t>дарственную и международную информационную среду;</w:t>
      </w:r>
    </w:p>
    <w:p w:rsidR="00D50717" w:rsidRPr="00B027DF" w:rsidRDefault="00D50717" w:rsidP="00D50717">
      <w:pPr>
        <w:pStyle w:val="af1"/>
        <w:numPr>
          <w:ilvl w:val="0"/>
          <w:numId w:val="63"/>
        </w:numPr>
      </w:pPr>
      <w:r w:rsidRPr="00B027DF">
        <w:t>умение организовать и осуществить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оборудования;</w:t>
      </w:r>
    </w:p>
    <w:p w:rsidR="00D50717" w:rsidRPr="00B027DF" w:rsidRDefault="00D50717" w:rsidP="00D50717">
      <w:pPr>
        <w:pStyle w:val="af1"/>
        <w:numPr>
          <w:ilvl w:val="0"/>
          <w:numId w:val="63"/>
        </w:numPr>
      </w:pPr>
      <w:r w:rsidRPr="00B027DF">
        <w:t>способность использовать технические, программные средства и языки программирования для разработки алгоритмов и программ в области и</w:t>
      </w:r>
      <w:r w:rsidRPr="00B027DF">
        <w:t>н</w:t>
      </w:r>
      <w:r w:rsidRPr="00B027DF">
        <w:t>теллектуального анализа данных, интеллектуальных и информационных систем;</w:t>
      </w:r>
    </w:p>
    <w:p w:rsidR="00D50717" w:rsidRPr="00B027DF" w:rsidRDefault="00D50717" w:rsidP="00D50717">
      <w:pPr>
        <w:pStyle w:val="af1"/>
      </w:pPr>
      <w:r w:rsidRPr="00B027DF">
        <w:rPr>
          <w:b/>
          <w:i/>
        </w:rPr>
        <w:t>проектно-конструкторски</w:t>
      </w:r>
      <w:r>
        <w:rPr>
          <w:b/>
          <w:i/>
        </w:rPr>
        <w:t>е компетенции</w:t>
      </w:r>
      <w:r w:rsidRPr="00B027DF">
        <w:rPr>
          <w:b/>
          <w:i/>
        </w:rPr>
        <w:t>:</w:t>
      </w:r>
    </w:p>
    <w:p w:rsidR="00D50717" w:rsidRPr="00B027DF" w:rsidRDefault="00D50717" w:rsidP="00D50717">
      <w:pPr>
        <w:pStyle w:val="af1"/>
        <w:numPr>
          <w:ilvl w:val="0"/>
          <w:numId w:val="62"/>
        </w:numPr>
      </w:pPr>
      <w:r w:rsidRPr="00B027DF">
        <w:t>способность проектировать и разрабатывать автоматизированные и</w:t>
      </w:r>
      <w:r w:rsidRPr="00B027DF">
        <w:t>н</w:t>
      </w:r>
      <w:r w:rsidRPr="00B027DF">
        <w:t>формационно-аналитические системы, прикладные средства совреме</w:t>
      </w:r>
      <w:r w:rsidRPr="00B027DF">
        <w:t>н</w:t>
      </w:r>
      <w:r w:rsidRPr="00B027DF">
        <w:t>ных информационных технологий;</w:t>
      </w:r>
    </w:p>
    <w:p w:rsidR="00D50717" w:rsidRPr="00B027DF" w:rsidRDefault="00D50717" w:rsidP="00D50717">
      <w:pPr>
        <w:pStyle w:val="af1"/>
        <w:numPr>
          <w:ilvl w:val="0"/>
          <w:numId w:val="62"/>
        </w:numPr>
      </w:pPr>
      <w:r w:rsidRPr="00B027DF">
        <w:t>способность проводить сбор и анализ исходных данных для проектир</w:t>
      </w:r>
      <w:r w:rsidRPr="00B027DF">
        <w:t>о</w:t>
      </w:r>
      <w:r w:rsidRPr="00B027DF">
        <w:t>вания систем защиты информации;</w:t>
      </w:r>
    </w:p>
    <w:p w:rsidR="00D50717" w:rsidRPr="00B027DF" w:rsidRDefault="00D50717" w:rsidP="00D50717">
      <w:pPr>
        <w:pStyle w:val="af1"/>
        <w:numPr>
          <w:ilvl w:val="0"/>
          <w:numId w:val="62"/>
        </w:numPr>
      </w:pPr>
      <w:r w:rsidRPr="00B027DF">
        <w:t>способность использования метода системного моделирования при и</w:t>
      </w:r>
      <w:r w:rsidRPr="00B027DF">
        <w:t>с</w:t>
      </w:r>
      <w:r w:rsidRPr="00B027DF">
        <w:t>следовании и проектировании программных систем;</w:t>
      </w:r>
    </w:p>
    <w:p w:rsidR="00D50717" w:rsidRPr="00B027DF" w:rsidRDefault="00D50717" w:rsidP="00D50717">
      <w:pPr>
        <w:pStyle w:val="af1"/>
        <w:numPr>
          <w:ilvl w:val="0"/>
          <w:numId w:val="62"/>
        </w:numPr>
      </w:pPr>
      <w:r w:rsidRPr="00B027DF">
        <w:lastRenderedPageBreak/>
        <w:t>способность формировать рабочую техническую документацию с учетом действующих нормативных и методических документов в области бе</w:t>
      </w:r>
      <w:r w:rsidRPr="00B027DF">
        <w:t>з</w:t>
      </w:r>
      <w:r w:rsidRPr="00B027DF">
        <w:t>опасности информации.</w:t>
      </w:r>
    </w:p>
    <w:p w:rsidR="00D50717" w:rsidRPr="00B027DF" w:rsidRDefault="00D50717" w:rsidP="00D50717">
      <w:pPr>
        <w:pStyle w:val="af1"/>
      </w:pPr>
      <w:r w:rsidRPr="00B027DF">
        <w:t>Сформированный таким образом перечень профессионально-значимых компетенци</w:t>
      </w:r>
      <w:r>
        <w:t>й</w:t>
      </w:r>
      <w:r w:rsidRPr="00B027DF">
        <w:t xml:space="preserve"> выпускников вузов, соответствующи</w:t>
      </w:r>
      <w:r>
        <w:t>х</w:t>
      </w:r>
      <w:r w:rsidRPr="00B027DF">
        <w:t xml:space="preserve"> профилю деятельности IT</w:t>
      </w:r>
      <w:r>
        <w:t>-</w:t>
      </w:r>
      <w:r w:rsidRPr="00B027DF">
        <w:t>сектора, может послужить основой для оценки востребованности этих комп</w:t>
      </w:r>
      <w:r w:rsidRPr="00B027DF">
        <w:t>е</w:t>
      </w:r>
      <w:r w:rsidRPr="00B027DF">
        <w:t>тенций со стороны работодателей.</w:t>
      </w:r>
    </w:p>
    <w:p w:rsidR="00D50717" w:rsidRPr="00B027DF" w:rsidRDefault="00D50717" w:rsidP="00D50717">
      <w:pPr>
        <w:pStyle w:val="af1"/>
      </w:pPr>
      <w:r w:rsidRPr="00B027DF">
        <w:t>Исследование проводилось в рамках выполнения государственного ко</w:t>
      </w:r>
      <w:r w:rsidRPr="00B027DF">
        <w:t>н</w:t>
      </w:r>
      <w:r w:rsidRPr="00B027DF">
        <w:t>тракта</w:t>
      </w:r>
      <w:r>
        <w:t xml:space="preserve"> </w:t>
      </w:r>
      <w:r>
        <w:rPr>
          <w:rFonts w:cs="Arial"/>
        </w:rPr>
        <w:t>¹</w:t>
      </w:r>
      <w:r w:rsidRPr="00B027DF">
        <w:rPr>
          <w:rFonts w:cs="Classic Russian"/>
        </w:rPr>
        <w:t xml:space="preserve"> 13.511.11.1002 </w:t>
      </w:r>
      <w:r w:rsidRPr="00B027DF">
        <w:t>от 29 июня 2011 г</w:t>
      </w:r>
      <w:r>
        <w:t>ода</w:t>
      </w:r>
      <w:r w:rsidRPr="00B027DF">
        <w:t xml:space="preserve"> по теме: «Исследование долг</w:t>
      </w:r>
      <w:r w:rsidRPr="00B027DF">
        <w:t>о</w:t>
      </w:r>
      <w:r w:rsidRPr="00B027DF">
        <w:t>срочного спроса на кадры, обладающие компетенциями в сфере технологич</w:t>
      </w:r>
      <w:r w:rsidRPr="00B027DF">
        <w:t>е</w:t>
      </w:r>
      <w:r w:rsidRPr="00B027DF">
        <w:t>ских инноваций».</w:t>
      </w:r>
    </w:p>
    <w:p w:rsidR="00D50717" w:rsidRPr="00B027DF" w:rsidRDefault="00D50717" w:rsidP="00D50717">
      <w:pPr>
        <w:pStyle w:val="af1"/>
      </w:pPr>
    </w:p>
    <w:p w:rsidR="00D50717" w:rsidRPr="00B027DF" w:rsidRDefault="00D50717" w:rsidP="00D50717">
      <w:pPr>
        <w:pStyle w:val="-5"/>
      </w:pPr>
      <w:r>
        <w:t>Библиографический список</w:t>
      </w:r>
    </w:p>
    <w:p w:rsidR="00D50717" w:rsidRPr="00B027DF" w:rsidRDefault="00D50717" w:rsidP="00D50717">
      <w:pPr>
        <w:pStyle w:val="afffff1"/>
        <w:numPr>
          <w:ilvl w:val="0"/>
          <w:numId w:val="43"/>
        </w:numPr>
      </w:pPr>
      <w:r w:rsidRPr="00B027DF">
        <w:t>Гуртов В.</w:t>
      </w:r>
      <w:r>
        <w:t xml:space="preserve"> </w:t>
      </w:r>
      <w:r w:rsidRPr="00B027DF">
        <w:t>А., Серова Л.</w:t>
      </w:r>
      <w:r>
        <w:t xml:space="preserve"> </w:t>
      </w:r>
      <w:r w:rsidRPr="00B027DF">
        <w:t xml:space="preserve">М., </w:t>
      </w:r>
      <w:proofErr w:type="spellStart"/>
      <w:r w:rsidRPr="00B027DF">
        <w:t>Степусь</w:t>
      </w:r>
      <w:proofErr w:type="spellEnd"/>
      <w:r w:rsidRPr="00B027DF">
        <w:t xml:space="preserve"> И.</w:t>
      </w:r>
      <w:r>
        <w:t xml:space="preserve"> </w:t>
      </w:r>
      <w:r w:rsidRPr="00B027DF">
        <w:rPr>
          <w:lang w:val="en-US"/>
        </w:rPr>
        <w:t>C</w:t>
      </w:r>
      <w:r w:rsidRPr="00B027DF">
        <w:t>.</w:t>
      </w:r>
      <w:r w:rsidRPr="00B027DF">
        <w:rPr>
          <w:bCs/>
        </w:rPr>
        <w:t xml:space="preserve"> </w:t>
      </w:r>
      <w:r w:rsidRPr="00B027DF">
        <w:t>Прогнозирование потребности в</w:t>
      </w:r>
      <w:r w:rsidRPr="00B027DF">
        <w:t>ы</w:t>
      </w:r>
      <w:r w:rsidRPr="00B027DF">
        <w:t>сокотехнологичных секторов экономики в кадрах с высшим профессионал</w:t>
      </w:r>
      <w:r w:rsidRPr="00B027DF">
        <w:t>ь</w:t>
      </w:r>
      <w:r w:rsidRPr="00B027DF">
        <w:t>ным образованием</w:t>
      </w:r>
      <w:r>
        <w:t xml:space="preserve">. </w:t>
      </w:r>
      <w:proofErr w:type="spellStart"/>
      <w:r w:rsidRPr="00B027DF">
        <w:rPr>
          <w:bCs/>
        </w:rPr>
        <w:t>Вып</w:t>
      </w:r>
      <w:proofErr w:type="spellEnd"/>
      <w:r w:rsidRPr="00B027DF">
        <w:rPr>
          <w:bCs/>
        </w:rPr>
        <w:t>. 8.</w:t>
      </w:r>
      <w:r>
        <w:rPr>
          <w:bCs/>
        </w:rPr>
        <w:t xml:space="preserve"> </w:t>
      </w:r>
      <w:r w:rsidRPr="00B027DF">
        <w:rPr>
          <w:bCs/>
        </w:rPr>
        <w:t>М</w:t>
      </w:r>
      <w:r>
        <w:rPr>
          <w:bCs/>
        </w:rPr>
        <w:t>.</w:t>
      </w:r>
      <w:r w:rsidRPr="00B027DF">
        <w:rPr>
          <w:bCs/>
        </w:rPr>
        <w:t xml:space="preserve">: Изд-во ФИРО, 2010. </w:t>
      </w:r>
    </w:p>
    <w:p w:rsidR="00D50717" w:rsidRPr="00B027DF" w:rsidRDefault="00D50717" w:rsidP="00D50717">
      <w:pPr>
        <w:pStyle w:val="afffff1"/>
        <w:numPr>
          <w:ilvl w:val="0"/>
          <w:numId w:val="43"/>
        </w:numPr>
      </w:pPr>
      <w:r w:rsidRPr="00B027DF">
        <w:t>Федеральные государственные образовательные стандарты высшего пр</w:t>
      </w:r>
      <w:r w:rsidRPr="00B027DF">
        <w:t>о</w:t>
      </w:r>
      <w:r w:rsidRPr="00B027DF">
        <w:t xml:space="preserve">фессионального образования по направлениям подготовки </w:t>
      </w:r>
      <w:proofErr w:type="spellStart"/>
      <w:r w:rsidRPr="00B027DF">
        <w:t>бакалавриата</w:t>
      </w:r>
      <w:proofErr w:type="spellEnd"/>
      <w:r w:rsidRPr="00B027DF">
        <w:t xml:space="preserve">, магистратуры, </w:t>
      </w:r>
      <w:proofErr w:type="spellStart"/>
      <w:r w:rsidRPr="00B027DF">
        <w:t>специалитета</w:t>
      </w:r>
      <w:proofErr w:type="spellEnd"/>
      <w:r>
        <w:t xml:space="preserve"> </w:t>
      </w:r>
      <w:r w:rsidRPr="00CD3E95">
        <w:t>[</w:t>
      </w:r>
      <w:r w:rsidRPr="00B027DF">
        <w:t>Электронный ресурс</w:t>
      </w:r>
      <w:r w:rsidRPr="00CD3E95">
        <w:t>]</w:t>
      </w:r>
      <w:r>
        <w:t xml:space="preserve">. </w:t>
      </w:r>
      <w:r>
        <w:rPr>
          <w:lang w:val="en-US"/>
        </w:rPr>
        <w:t>URL</w:t>
      </w:r>
      <w:r>
        <w:t>:</w:t>
      </w:r>
      <w:r w:rsidRPr="00B027DF">
        <w:t xml:space="preserve"> http://mon.gov.ru/dok/fgos/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67" w:rsidRDefault="005C3267">
      <w:r>
        <w:separator/>
      </w:r>
    </w:p>
  </w:endnote>
  <w:endnote w:type="continuationSeparator" w:id="0">
    <w:p w:rsidR="005C3267" w:rsidRDefault="005C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D50717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D50717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67" w:rsidRDefault="005C3267">
      <w:r>
        <w:separator/>
      </w:r>
    </w:p>
  </w:footnote>
  <w:footnote w:type="continuationSeparator" w:id="0">
    <w:p w:rsidR="005C3267" w:rsidRDefault="005C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2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717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998014-3137-4669-B0BF-90FE8315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2011-10-05T15:26:00Z</dcterms:created>
  <dcterms:modified xsi:type="dcterms:W3CDTF">2011-10-05T15:26:00Z</dcterms:modified>
</cp:coreProperties>
</file>