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05" w:rsidRDefault="00523D05" w:rsidP="00523D05">
      <w:pPr>
        <w:pStyle w:val="11"/>
      </w:pPr>
      <w:bookmarkStart w:id="0" w:name="_Toc304389982"/>
      <w:bookmarkStart w:id="1" w:name="_Toc304390290"/>
      <w:bookmarkStart w:id="2" w:name="_GoBack"/>
      <w:r w:rsidRPr="00A44E10">
        <w:t>Как открыть данные для сторон</w:t>
      </w:r>
      <w:r>
        <w:t xml:space="preserve">них </w:t>
      </w:r>
      <w:bookmarkEnd w:id="2"/>
      <w:r>
        <w:t xml:space="preserve">приложений </w:t>
      </w:r>
      <w:r>
        <w:br/>
        <w:t>и спать спокойно</w:t>
      </w:r>
      <w:bookmarkEnd w:id="0"/>
      <w:bookmarkEnd w:id="1"/>
    </w:p>
    <w:p w:rsidR="00523D05" w:rsidRPr="00A44E10" w:rsidRDefault="00523D05" w:rsidP="00523D05">
      <w:pPr>
        <w:pStyle w:val="22"/>
        <w:spacing w:before="120"/>
      </w:pPr>
      <w:bookmarkStart w:id="3" w:name="_Toc304389983"/>
      <w:bookmarkStart w:id="4" w:name="_Toc304390291"/>
      <w:r w:rsidRPr="00A44E10">
        <w:t>А.</w:t>
      </w:r>
      <w:r>
        <w:t xml:space="preserve"> </w:t>
      </w:r>
      <w:r w:rsidRPr="00A44E10">
        <w:t>Н. Миронов</w:t>
      </w:r>
      <w:bookmarkEnd w:id="3"/>
      <w:bookmarkEnd w:id="4"/>
      <w:r>
        <w:fldChar w:fldCharType="begin"/>
      </w:r>
      <w:r>
        <w:instrText xml:space="preserve"> XE "</w:instrText>
      </w:r>
      <w:r w:rsidRPr="00975FBE">
        <w:instrText>Миронов</w:instrText>
      </w:r>
      <w:r w:rsidRPr="00A44E10">
        <w:instrText xml:space="preserve"> </w:instrText>
      </w:r>
      <w:r w:rsidRPr="00975FBE">
        <w:instrText xml:space="preserve">А. </w:instrText>
      </w:r>
      <w:r>
        <w:instrText xml:space="preserve">Н." </w:instrText>
      </w:r>
      <w:r>
        <w:fldChar w:fldCharType="end"/>
      </w:r>
    </w:p>
    <w:p w:rsidR="00523D05" w:rsidRPr="00A44E10" w:rsidRDefault="00523D05" w:rsidP="00523D05">
      <w:pPr>
        <w:pStyle w:val="ad"/>
      </w:pPr>
      <w:r w:rsidRPr="00A44E10">
        <w:t>Удмуртский государственный университет</w:t>
      </w:r>
      <w:r>
        <w:fldChar w:fldCharType="begin"/>
      </w:r>
      <w:r>
        <w:instrText xml:space="preserve"> XE "</w:instrText>
      </w:r>
      <w:r w:rsidRPr="00975FBE">
        <w:instrText>Удмуртский государственный университет</w:instrText>
      </w:r>
      <w:r>
        <w:instrText xml:space="preserve">" </w:instrText>
      </w:r>
      <w:r>
        <w:fldChar w:fldCharType="end"/>
      </w:r>
      <w:r w:rsidRPr="00A44E10">
        <w:t xml:space="preserve"> </w:t>
      </w:r>
    </w:p>
    <w:p w:rsidR="00523D05" w:rsidRPr="00A44E10" w:rsidRDefault="00523D05" w:rsidP="00523D05">
      <w:pPr>
        <w:pStyle w:val="ad"/>
      </w:pPr>
      <w:r w:rsidRPr="00A44E10">
        <w:t>Ижевск</w:t>
      </w:r>
    </w:p>
    <w:p w:rsidR="00523D05" w:rsidRPr="00A44E10" w:rsidRDefault="00523D05" w:rsidP="00523D05">
      <w:pPr>
        <w:pStyle w:val="af"/>
        <w:spacing w:before="120"/>
      </w:pPr>
      <w:r w:rsidRPr="00A44E10">
        <w:rPr>
          <w:lang w:val="en-GB"/>
        </w:rPr>
        <w:t>man</w:t>
      </w:r>
      <w:r w:rsidRPr="00A44E10">
        <w:t>@</w:t>
      </w:r>
      <w:proofErr w:type="spellStart"/>
      <w:r w:rsidRPr="00A44E10">
        <w:rPr>
          <w:lang w:val="en-GB"/>
        </w:rPr>
        <w:t>uni</w:t>
      </w:r>
      <w:proofErr w:type="spellEnd"/>
      <w:r w:rsidRPr="00A44E10">
        <w:t>.</w:t>
      </w:r>
      <w:proofErr w:type="spellStart"/>
      <w:r w:rsidRPr="00A44E10">
        <w:rPr>
          <w:lang w:val="en-GB"/>
        </w:rPr>
        <w:t>udm</w:t>
      </w:r>
      <w:proofErr w:type="spellEnd"/>
      <w:r w:rsidRPr="00A44E10">
        <w:t>.</w:t>
      </w:r>
      <w:proofErr w:type="spellStart"/>
      <w:r w:rsidRPr="00A44E10">
        <w:rPr>
          <w:lang w:val="en-GB"/>
        </w:rPr>
        <w:t>ru</w:t>
      </w:r>
      <w:proofErr w:type="spellEnd"/>
    </w:p>
    <w:p w:rsidR="00523D05" w:rsidRPr="00A44E10" w:rsidRDefault="00523D05" w:rsidP="00523D05">
      <w:pPr>
        <w:pStyle w:val="af1"/>
      </w:pPr>
      <w:r w:rsidRPr="00A44E10">
        <w:t>Удмуртский госуниверситет осуществляет подготовку студентов более чем по 140 основным образовательным программам среднего, высшего и послев</w:t>
      </w:r>
      <w:r w:rsidRPr="00A44E10">
        <w:t>у</w:t>
      </w:r>
      <w:r w:rsidRPr="00A44E10">
        <w:t>зовского образования. На всех формах обучения учится более 23 тысяч студе</w:t>
      </w:r>
      <w:r w:rsidRPr="00A44E10">
        <w:t>н</w:t>
      </w:r>
      <w:r w:rsidRPr="00A44E10">
        <w:t>тов и аспирантов. Университет имеет пять филиалов на территории Удмуртии и за ее пределами. Более десяти лет университет ведет разработку и эксплуат</w:t>
      </w:r>
      <w:r w:rsidRPr="00A44E10">
        <w:t>а</w:t>
      </w:r>
      <w:r w:rsidRPr="00A44E10">
        <w:t xml:space="preserve">цию Интегрированной </w:t>
      </w:r>
      <w:r>
        <w:t>и</w:t>
      </w:r>
      <w:r w:rsidRPr="00A44E10">
        <w:t>нформационно-</w:t>
      </w:r>
      <w:r>
        <w:t>а</w:t>
      </w:r>
      <w:r w:rsidRPr="00A44E10">
        <w:t>налит</w:t>
      </w:r>
      <w:r>
        <w:t>и</w:t>
      </w:r>
      <w:r w:rsidRPr="00A44E10">
        <w:t xml:space="preserve">ческой </w:t>
      </w:r>
      <w:r>
        <w:t>с</w:t>
      </w:r>
      <w:r w:rsidRPr="00A44E10">
        <w:t>истемы управления в</w:t>
      </w:r>
      <w:r w:rsidRPr="00A44E10">
        <w:t>у</w:t>
      </w:r>
      <w:r w:rsidRPr="00A44E10">
        <w:t>зом (ИИАС-</w:t>
      </w:r>
      <w:proofErr w:type="spellStart"/>
      <w:r w:rsidRPr="00A44E10">
        <w:t>УдГУ</w:t>
      </w:r>
      <w:proofErr w:type="spellEnd"/>
      <w:r w:rsidRPr="00A44E10">
        <w:t>), охватывающей сегодня практически все направления де</w:t>
      </w:r>
      <w:r w:rsidRPr="00A44E10">
        <w:t>я</w:t>
      </w:r>
      <w:r w:rsidRPr="00A44E10">
        <w:t xml:space="preserve">тельности </w:t>
      </w:r>
      <w:r>
        <w:t>вуз</w:t>
      </w:r>
      <w:r w:rsidRPr="00A44E10">
        <w:t>а:</w:t>
      </w:r>
    </w:p>
    <w:p w:rsidR="00523D05" w:rsidRPr="00A44E10" w:rsidRDefault="00523D05" w:rsidP="00523D05">
      <w:pPr>
        <w:pStyle w:val="af1"/>
        <w:numPr>
          <w:ilvl w:val="0"/>
          <w:numId w:val="137"/>
        </w:numPr>
      </w:pPr>
      <w:r w:rsidRPr="00A44E10">
        <w:t>Управление учебным процессом:</w:t>
      </w:r>
    </w:p>
    <w:p w:rsidR="00523D05" w:rsidRPr="00A44E10" w:rsidRDefault="00523D05" w:rsidP="00523D05">
      <w:pPr>
        <w:pStyle w:val="af1"/>
        <w:numPr>
          <w:ilvl w:val="1"/>
          <w:numId w:val="137"/>
        </w:numPr>
      </w:pPr>
      <w:r>
        <w:t>у</w:t>
      </w:r>
      <w:r w:rsidRPr="00A44E10">
        <w:t>чебно-методическое обеспечение и планирование учебного процесса</w:t>
      </w:r>
      <w:r>
        <w:t>;</w:t>
      </w:r>
    </w:p>
    <w:p w:rsidR="00523D05" w:rsidRPr="00A44E10" w:rsidRDefault="00523D05" w:rsidP="00523D05">
      <w:pPr>
        <w:pStyle w:val="af1"/>
        <w:numPr>
          <w:ilvl w:val="1"/>
          <w:numId w:val="137"/>
        </w:numPr>
      </w:pPr>
      <w:r>
        <w:t>д</w:t>
      </w:r>
      <w:r w:rsidRPr="00A44E10">
        <w:t>вижение контингента студентов и аспирантов</w:t>
      </w:r>
      <w:r>
        <w:t>;</w:t>
      </w:r>
    </w:p>
    <w:p w:rsidR="00523D05" w:rsidRPr="00A44E10" w:rsidRDefault="00523D05" w:rsidP="00523D05">
      <w:pPr>
        <w:pStyle w:val="af1"/>
        <w:numPr>
          <w:ilvl w:val="1"/>
          <w:numId w:val="137"/>
        </w:numPr>
      </w:pPr>
      <w:r>
        <w:t>п</w:t>
      </w:r>
      <w:r w:rsidRPr="00A44E10">
        <w:t>ланирование и проведение текущего и семестрового контроля</w:t>
      </w:r>
      <w:proofErr w:type="gramStart"/>
      <w:r w:rsidRPr="00A44E10">
        <w:t xml:space="preserve"> </w:t>
      </w:r>
      <w:r>
        <w:t>;</w:t>
      </w:r>
      <w:proofErr w:type="gramEnd"/>
    </w:p>
    <w:p w:rsidR="00523D05" w:rsidRPr="00A44E10" w:rsidRDefault="00523D05" w:rsidP="00523D05">
      <w:pPr>
        <w:pStyle w:val="af1"/>
        <w:numPr>
          <w:ilvl w:val="1"/>
          <w:numId w:val="137"/>
        </w:numPr>
      </w:pPr>
      <w:r>
        <w:t>р</w:t>
      </w:r>
      <w:r w:rsidRPr="00A44E10">
        <w:t>асписание учебных занятий</w:t>
      </w:r>
      <w:r>
        <w:t>;</w:t>
      </w:r>
    </w:p>
    <w:p w:rsidR="00523D05" w:rsidRPr="00A44E10" w:rsidRDefault="00523D05" w:rsidP="00523D05">
      <w:pPr>
        <w:pStyle w:val="af1"/>
        <w:numPr>
          <w:ilvl w:val="1"/>
          <w:numId w:val="137"/>
        </w:numPr>
      </w:pPr>
      <w:r>
        <w:t>к</w:t>
      </w:r>
      <w:r w:rsidRPr="00A44E10">
        <w:t>афедральные и преподавательские поручения, расчет учебной нагру</w:t>
      </w:r>
      <w:r w:rsidRPr="00A44E10">
        <w:t>з</w:t>
      </w:r>
      <w:r w:rsidRPr="00A44E10">
        <w:t>ки</w:t>
      </w:r>
      <w:r>
        <w:t>;</w:t>
      </w:r>
    </w:p>
    <w:p w:rsidR="00523D05" w:rsidRPr="00A44E10" w:rsidRDefault="00523D05" w:rsidP="00523D05">
      <w:pPr>
        <w:pStyle w:val="af1"/>
        <w:numPr>
          <w:ilvl w:val="1"/>
          <w:numId w:val="137"/>
        </w:numPr>
      </w:pPr>
      <w:r>
        <w:t>у</w:t>
      </w:r>
      <w:r w:rsidRPr="00A44E10">
        <w:t>правление приемной кампанией</w:t>
      </w:r>
      <w:r>
        <w:t>;</w:t>
      </w:r>
    </w:p>
    <w:p w:rsidR="00523D05" w:rsidRPr="00A44E10" w:rsidRDefault="00523D05" w:rsidP="00523D05">
      <w:pPr>
        <w:pStyle w:val="af1"/>
        <w:numPr>
          <w:ilvl w:val="1"/>
          <w:numId w:val="137"/>
        </w:numPr>
      </w:pPr>
      <w:r>
        <w:t>о</w:t>
      </w:r>
      <w:r w:rsidRPr="00A44E10">
        <w:t>беспечение занятости и трудоустройства выпускников</w:t>
      </w:r>
      <w:r>
        <w:t>.</w:t>
      </w:r>
    </w:p>
    <w:p w:rsidR="00523D05" w:rsidRPr="00A44E10" w:rsidRDefault="00523D05" w:rsidP="00523D05">
      <w:pPr>
        <w:pStyle w:val="af1"/>
        <w:numPr>
          <w:ilvl w:val="0"/>
          <w:numId w:val="137"/>
        </w:numPr>
      </w:pPr>
      <w:r w:rsidRPr="00A44E10">
        <w:t>Административная деятельность</w:t>
      </w:r>
      <w:r>
        <w:t>:</w:t>
      </w:r>
    </w:p>
    <w:p w:rsidR="00523D05" w:rsidRPr="00A44E10" w:rsidRDefault="00523D05" w:rsidP="00523D05">
      <w:pPr>
        <w:pStyle w:val="af1"/>
        <w:numPr>
          <w:ilvl w:val="1"/>
          <w:numId w:val="137"/>
        </w:numPr>
      </w:pPr>
      <w:r>
        <w:t>к</w:t>
      </w:r>
      <w:r w:rsidRPr="00A44E10">
        <w:t>адры</w:t>
      </w:r>
      <w:r>
        <w:t>;</w:t>
      </w:r>
    </w:p>
    <w:p w:rsidR="00523D05" w:rsidRPr="00A44E10" w:rsidRDefault="00523D05" w:rsidP="00523D05">
      <w:pPr>
        <w:pStyle w:val="af1"/>
        <w:numPr>
          <w:ilvl w:val="1"/>
          <w:numId w:val="137"/>
        </w:numPr>
      </w:pPr>
      <w:r>
        <w:t>у</w:t>
      </w:r>
      <w:r w:rsidRPr="00A44E10">
        <w:t xml:space="preserve">правление НИР и </w:t>
      </w:r>
      <w:proofErr w:type="gramStart"/>
      <w:r w:rsidRPr="00A44E10">
        <w:t>ОКР</w:t>
      </w:r>
      <w:proofErr w:type="gramEnd"/>
      <w:r>
        <w:t>;</w:t>
      </w:r>
    </w:p>
    <w:p w:rsidR="00523D05" w:rsidRPr="00A44E10" w:rsidRDefault="00523D05" w:rsidP="00523D05">
      <w:pPr>
        <w:pStyle w:val="af1"/>
        <w:numPr>
          <w:ilvl w:val="1"/>
          <w:numId w:val="137"/>
        </w:numPr>
      </w:pPr>
      <w:r>
        <w:t>р</w:t>
      </w:r>
      <w:r w:rsidRPr="00A44E10">
        <w:t>ейтинговая оценка деятельности ППС, кафедр, факультетов</w:t>
      </w:r>
      <w:r>
        <w:t>;</w:t>
      </w:r>
    </w:p>
    <w:p w:rsidR="00523D05" w:rsidRPr="00A44E10" w:rsidRDefault="00523D05" w:rsidP="00523D05">
      <w:pPr>
        <w:pStyle w:val="af1"/>
        <w:numPr>
          <w:ilvl w:val="0"/>
          <w:numId w:val="137"/>
        </w:numPr>
      </w:pPr>
      <w:r w:rsidRPr="00A44E10">
        <w:t>Финансово-бухгалтерская деятельность</w:t>
      </w:r>
      <w:r>
        <w:t>:</w:t>
      </w:r>
    </w:p>
    <w:p w:rsidR="00523D05" w:rsidRPr="00A44E10" w:rsidRDefault="00523D05" w:rsidP="00523D05">
      <w:pPr>
        <w:pStyle w:val="af1"/>
        <w:numPr>
          <w:ilvl w:val="1"/>
          <w:numId w:val="137"/>
        </w:numPr>
      </w:pPr>
      <w:r>
        <w:t>б</w:t>
      </w:r>
      <w:r w:rsidRPr="00A44E10">
        <w:t>юджетирование</w:t>
      </w:r>
      <w:r>
        <w:t>;</w:t>
      </w:r>
    </w:p>
    <w:p w:rsidR="00523D05" w:rsidRPr="00A44E10" w:rsidRDefault="00523D05" w:rsidP="00523D05">
      <w:pPr>
        <w:pStyle w:val="af1"/>
        <w:numPr>
          <w:ilvl w:val="1"/>
          <w:numId w:val="137"/>
        </w:numPr>
      </w:pPr>
      <w:r>
        <w:t>у</w:t>
      </w:r>
      <w:r w:rsidRPr="00A44E10">
        <w:t>чет договорных отношений</w:t>
      </w:r>
      <w:r>
        <w:t>;</w:t>
      </w:r>
    </w:p>
    <w:p w:rsidR="00523D05" w:rsidRPr="00A44E10" w:rsidRDefault="00523D05" w:rsidP="00523D05">
      <w:pPr>
        <w:pStyle w:val="af1"/>
        <w:numPr>
          <w:ilvl w:val="1"/>
          <w:numId w:val="137"/>
        </w:numPr>
      </w:pPr>
      <w:r>
        <w:t>з</w:t>
      </w:r>
      <w:r w:rsidRPr="00A44E10">
        <w:t>аработная плата</w:t>
      </w:r>
      <w:r>
        <w:t>;</w:t>
      </w:r>
    </w:p>
    <w:p w:rsidR="00523D05" w:rsidRPr="00A44E10" w:rsidRDefault="00523D05" w:rsidP="00523D05">
      <w:pPr>
        <w:pStyle w:val="af1"/>
        <w:numPr>
          <w:ilvl w:val="1"/>
          <w:numId w:val="137"/>
        </w:numPr>
      </w:pPr>
      <w:r>
        <w:t>у</w:t>
      </w:r>
      <w:r w:rsidRPr="00A44E10">
        <w:t>чет материалов и МБП</w:t>
      </w:r>
      <w:r>
        <w:t>;</w:t>
      </w:r>
    </w:p>
    <w:p w:rsidR="00523D05" w:rsidRPr="00A44E10" w:rsidRDefault="00523D05" w:rsidP="00523D05">
      <w:pPr>
        <w:pStyle w:val="af1"/>
        <w:numPr>
          <w:ilvl w:val="1"/>
          <w:numId w:val="137"/>
        </w:numPr>
      </w:pPr>
      <w:r>
        <w:t>о</w:t>
      </w:r>
      <w:r w:rsidRPr="00A44E10">
        <w:t>сновные средства</w:t>
      </w:r>
      <w:r>
        <w:t>.</w:t>
      </w:r>
    </w:p>
    <w:p w:rsidR="00523D05" w:rsidRPr="00A44E10" w:rsidRDefault="00523D05" w:rsidP="00523D05">
      <w:pPr>
        <w:pStyle w:val="af1"/>
        <w:numPr>
          <w:ilvl w:val="0"/>
          <w:numId w:val="137"/>
        </w:numPr>
      </w:pPr>
      <w:r w:rsidRPr="00A44E10">
        <w:t>Библиотека</w:t>
      </w:r>
      <w:r>
        <w:t>.</w:t>
      </w:r>
    </w:p>
    <w:p w:rsidR="00523D05" w:rsidRPr="00A44E10" w:rsidRDefault="00523D05" w:rsidP="00523D05">
      <w:pPr>
        <w:pStyle w:val="af1"/>
        <w:numPr>
          <w:ilvl w:val="0"/>
          <w:numId w:val="137"/>
        </w:numPr>
      </w:pPr>
      <w:r w:rsidRPr="00A44E10">
        <w:t>Вспомогательные подсистемы</w:t>
      </w:r>
      <w:r>
        <w:t>:</w:t>
      </w:r>
    </w:p>
    <w:p w:rsidR="00523D05" w:rsidRPr="00A44E10" w:rsidRDefault="00523D05" w:rsidP="00523D05">
      <w:pPr>
        <w:pStyle w:val="af1"/>
        <w:numPr>
          <w:ilvl w:val="1"/>
          <w:numId w:val="137"/>
        </w:numPr>
      </w:pPr>
      <w:r>
        <w:t>в</w:t>
      </w:r>
      <w:r w:rsidRPr="00A44E10">
        <w:t>оенно-учетный стол</w:t>
      </w:r>
      <w:r>
        <w:t>;</w:t>
      </w:r>
    </w:p>
    <w:p w:rsidR="00523D05" w:rsidRPr="00A44E10" w:rsidRDefault="00523D05" w:rsidP="00523D05">
      <w:pPr>
        <w:pStyle w:val="af1"/>
        <w:numPr>
          <w:ilvl w:val="1"/>
          <w:numId w:val="137"/>
        </w:numPr>
      </w:pPr>
      <w:r>
        <w:t>о</w:t>
      </w:r>
      <w:r w:rsidRPr="00A44E10">
        <w:t>бщежитие</w:t>
      </w:r>
      <w:r>
        <w:t>;</w:t>
      </w:r>
    </w:p>
    <w:p w:rsidR="00523D05" w:rsidRPr="00A44E10" w:rsidRDefault="00523D05" w:rsidP="00523D05">
      <w:pPr>
        <w:pStyle w:val="af1"/>
        <w:numPr>
          <w:ilvl w:val="1"/>
          <w:numId w:val="137"/>
        </w:numPr>
      </w:pPr>
      <w:r>
        <w:t>п</w:t>
      </w:r>
      <w:r w:rsidRPr="00A44E10">
        <w:t>рофсоюз</w:t>
      </w:r>
      <w:r>
        <w:t>.</w:t>
      </w:r>
    </w:p>
    <w:p w:rsidR="00523D05" w:rsidRPr="00A44E10" w:rsidRDefault="00523D05" w:rsidP="00523D05">
      <w:pPr>
        <w:pStyle w:val="af1"/>
        <w:numPr>
          <w:ilvl w:val="0"/>
          <w:numId w:val="137"/>
        </w:numPr>
      </w:pPr>
      <w:r w:rsidRPr="00A44E10">
        <w:t xml:space="preserve">Портал сотрудников и студентов </w:t>
      </w:r>
      <w:r>
        <w:t>у</w:t>
      </w:r>
      <w:r w:rsidRPr="00A44E10">
        <w:t>ниверситета</w:t>
      </w:r>
      <w:r>
        <w:t>.</w:t>
      </w:r>
    </w:p>
    <w:p w:rsidR="00523D05" w:rsidRPr="00A44E10" w:rsidRDefault="00523D05" w:rsidP="00523D05">
      <w:pPr>
        <w:pStyle w:val="af1"/>
      </w:pPr>
      <w:r w:rsidRPr="00A44E10">
        <w:t xml:space="preserve">Система функционирует в 3-уровневой архитектуре (БД </w:t>
      </w:r>
      <w:proofErr w:type="spellStart"/>
      <w:r w:rsidRPr="00A44E10">
        <w:t>Oracle</w:t>
      </w:r>
      <w:proofErr w:type="spellEnd"/>
      <w:r w:rsidRPr="00A44E10">
        <w:t>, сервер пр</w:t>
      </w:r>
      <w:r w:rsidRPr="00A44E10">
        <w:t>и</w:t>
      </w:r>
      <w:r w:rsidRPr="00A44E10">
        <w:t xml:space="preserve">ложений </w:t>
      </w:r>
      <w:proofErr w:type="spellStart"/>
      <w:r w:rsidRPr="00A44E10">
        <w:t>Oracle</w:t>
      </w:r>
      <w:proofErr w:type="spellEnd"/>
      <w:r w:rsidRPr="00A44E10">
        <w:t xml:space="preserve"> </w:t>
      </w:r>
      <w:proofErr w:type="spellStart"/>
      <w:r w:rsidRPr="00A44E10">
        <w:t>iAS</w:t>
      </w:r>
      <w:proofErr w:type="spellEnd"/>
      <w:r w:rsidRPr="00A44E10">
        <w:t>, браузер), что обеспечивает высокую надежность работы, простое масштабирование системы, эффективное управление компонентами системы, минимизацию затрат на сопровождение.</w:t>
      </w:r>
    </w:p>
    <w:p w:rsidR="00523D05" w:rsidRPr="00A44E10" w:rsidRDefault="00523D05" w:rsidP="00523D05">
      <w:pPr>
        <w:pStyle w:val="af1"/>
      </w:pPr>
      <w:r w:rsidRPr="00A44E10">
        <w:t>Информационная система такого масштаба не должна и не может сущ</w:t>
      </w:r>
      <w:r w:rsidRPr="00A44E10">
        <w:t>е</w:t>
      </w:r>
      <w:r w:rsidRPr="00A44E10">
        <w:t>ствовать в полной изоляции от других информационных систем (ИС). Именно вопросам обмена данными с другими ИС уделено основное внимание в докл</w:t>
      </w:r>
      <w:r w:rsidRPr="00A44E10">
        <w:t>а</w:t>
      </w:r>
      <w:r w:rsidRPr="00A44E10">
        <w:t>де. Обмен данными осуществляется как со сторонними организациями (ГНИ, Пенсионный фонд, банки, Министерство образова</w:t>
      </w:r>
      <w:r>
        <w:t>ния и науки, ФБС, Союз ре</w:t>
      </w:r>
      <w:r>
        <w:t>к</w:t>
      </w:r>
      <w:r>
        <w:t xml:space="preserve">торов…), </w:t>
      </w:r>
      <w:r w:rsidRPr="00A44E10">
        <w:t>так и внутри университета с другими информационными системами (1С, система управления документооборотом «</w:t>
      </w:r>
      <w:proofErr w:type="spellStart"/>
      <w:r w:rsidRPr="00A44E10">
        <w:t>Директум</w:t>
      </w:r>
      <w:proofErr w:type="spellEnd"/>
      <w:r w:rsidRPr="00A44E10">
        <w:t xml:space="preserve">», сайты </w:t>
      </w:r>
      <w:r>
        <w:t>у</w:t>
      </w:r>
      <w:r w:rsidRPr="00A44E10">
        <w:t>ниверситета, факультетов, Научной библиотеки…).</w:t>
      </w:r>
    </w:p>
    <w:p w:rsidR="00523D05" w:rsidRPr="00A44E10" w:rsidRDefault="00523D05" w:rsidP="00523D05">
      <w:pPr>
        <w:pStyle w:val="af1"/>
      </w:pPr>
      <w:r w:rsidRPr="00A44E10">
        <w:lastRenderedPageBreak/>
        <w:t xml:space="preserve">За время эксплуатации ИИАС накоплен опыт организации обмена данными разными способами: </w:t>
      </w:r>
    </w:p>
    <w:p w:rsidR="00523D05" w:rsidRPr="00A44E10" w:rsidRDefault="00523D05" w:rsidP="00523D05">
      <w:pPr>
        <w:pStyle w:val="af1"/>
        <w:numPr>
          <w:ilvl w:val="0"/>
          <w:numId w:val="138"/>
        </w:numPr>
      </w:pPr>
      <w:r w:rsidRPr="00A44E10">
        <w:t>экспорт/импорт файлов</w:t>
      </w:r>
      <w:r>
        <w:t>;</w:t>
      </w:r>
    </w:p>
    <w:p w:rsidR="00523D05" w:rsidRPr="00A44E10" w:rsidRDefault="00523D05" w:rsidP="00523D05">
      <w:pPr>
        <w:pStyle w:val="af1"/>
        <w:numPr>
          <w:ilvl w:val="0"/>
          <w:numId w:val="138"/>
        </w:numPr>
      </w:pPr>
      <w:r w:rsidRPr="00A44E10">
        <w:t>прямое обращение к «сторонней» базе данных с использованием DBLINK</w:t>
      </w:r>
      <w:r>
        <w:t>;</w:t>
      </w:r>
    </w:p>
    <w:p w:rsidR="00523D05" w:rsidRPr="00A44E10" w:rsidRDefault="00523D05" w:rsidP="00523D05">
      <w:pPr>
        <w:pStyle w:val="af1"/>
        <w:numPr>
          <w:ilvl w:val="0"/>
          <w:numId w:val="138"/>
        </w:numPr>
      </w:pPr>
      <w:r w:rsidRPr="00A44E10">
        <w:t>обмен данными по ODBC</w:t>
      </w:r>
      <w:r>
        <w:t>;</w:t>
      </w:r>
    </w:p>
    <w:p w:rsidR="00523D05" w:rsidRPr="00A44E10" w:rsidRDefault="00523D05" w:rsidP="00523D05">
      <w:pPr>
        <w:pStyle w:val="af1"/>
        <w:numPr>
          <w:ilvl w:val="0"/>
          <w:numId w:val="138"/>
        </w:numPr>
      </w:pPr>
      <w:r w:rsidRPr="00A44E10">
        <w:t xml:space="preserve">обмен данными с применением SOAP </w:t>
      </w:r>
      <w:r>
        <w:t>.</w:t>
      </w:r>
    </w:p>
    <w:p w:rsidR="00523D05" w:rsidRPr="00E4595B" w:rsidRDefault="00523D05" w:rsidP="00523D05">
      <w:pPr>
        <w:pStyle w:val="af1"/>
        <w:rPr>
          <w:spacing w:val="-4"/>
        </w:rPr>
      </w:pPr>
      <w:r w:rsidRPr="00E4595B">
        <w:rPr>
          <w:spacing w:val="-4"/>
        </w:rPr>
        <w:t>В докладе рассмотрены основные проблемы, свойственные этим технологиям организации обмена данными. Разработанный в рамках ИИАС шлюз для обмена данными со сторонними приложениями позволяет существенно облегчить орган</w:t>
      </w:r>
      <w:r w:rsidRPr="00E4595B">
        <w:rPr>
          <w:spacing w:val="-4"/>
        </w:rPr>
        <w:t>и</w:t>
      </w:r>
      <w:r w:rsidRPr="00E4595B">
        <w:rPr>
          <w:spacing w:val="-4"/>
        </w:rPr>
        <w:t>зацию «новых» потоков обмена, их развитие и сопровождение. Основой информ</w:t>
      </w:r>
      <w:r w:rsidRPr="00E4595B">
        <w:rPr>
          <w:spacing w:val="-4"/>
        </w:rPr>
        <w:t>а</w:t>
      </w:r>
      <w:r w:rsidRPr="00E4595B">
        <w:rPr>
          <w:spacing w:val="-4"/>
        </w:rPr>
        <w:t>ционной модели шлюза является таблица, содержащая те</w:t>
      </w:r>
      <w:proofErr w:type="gramStart"/>
      <w:r w:rsidRPr="00E4595B">
        <w:rPr>
          <w:spacing w:val="-4"/>
        </w:rPr>
        <w:t>кст пр</w:t>
      </w:r>
      <w:proofErr w:type="gramEnd"/>
      <w:r w:rsidRPr="00E4595B">
        <w:rPr>
          <w:spacing w:val="-4"/>
        </w:rPr>
        <w:t>едопределенных запросов, выбирающих из базы ИИАС необходимые данные. Обеспечен удале</w:t>
      </w:r>
      <w:r w:rsidRPr="00E4595B">
        <w:rPr>
          <w:spacing w:val="-4"/>
        </w:rPr>
        <w:t>н</w:t>
      </w:r>
      <w:r w:rsidRPr="00E4595B">
        <w:rPr>
          <w:spacing w:val="-4"/>
        </w:rPr>
        <w:t>ный вызов процедуры, выполняющей запрос по его уникальному коду и формир</w:t>
      </w:r>
      <w:r w:rsidRPr="00E4595B">
        <w:rPr>
          <w:spacing w:val="-4"/>
        </w:rPr>
        <w:t>у</w:t>
      </w:r>
      <w:r w:rsidRPr="00E4595B">
        <w:rPr>
          <w:spacing w:val="-4"/>
        </w:rPr>
        <w:t xml:space="preserve">ющей XML-документ на основе полученных им данных. </w:t>
      </w:r>
    </w:p>
    <w:p w:rsidR="00523D05" w:rsidRPr="00A44E10" w:rsidRDefault="00523D05" w:rsidP="00523D05">
      <w:pPr>
        <w:pStyle w:val="af1"/>
      </w:pPr>
      <w:r w:rsidRPr="00A44E10">
        <w:t>Реализация шлюза в виде пакета процедур, расположенного в дополн</w:t>
      </w:r>
      <w:r w:rsidRPr="00A44E10">
        <w:t>и</w:t>
      </w:r>
      <w:r w:rsidRPr="00A44E10">
        <w:t>тельной схеме данных (не у главного владельца данных ИИАС) и правильная раздача полномочий на таблицы базы данных обеспечивают необходимую из</w:t>
      </w:r>
      <w:r w:rsidRPr="00A44E10">
        <w:t>о</w:t>
      </w:r>
      <w:r w:rsidRPr="00A44E10">
        <w:t xml:space="preserve">ляцию конфиденциальных данных и простой </w:t>
      </w:r>
      <w:proofErr w:type="gramStart"/>
      <w:r w:rsidRPr="00A44E10">
        <w:t>контроль за</w:t>
      </w:r>
      <w:proofErr w:type="gramEnd"/>
      <w:r w:rsidRPr="00A44E10">
        <w:t xml:space="preserve"> соблюдением прав доступа. Ограничения на обращения  к шлюзу по IP-адресам, встроенные во</w:t>
      </w:r>
      <w:r w:rsidRPr="00A44E10">
        <w:t>з</w:t>
      </w:r>
      <w:r w:rsidRPr="00A44E10">
        <w:t>можности блокировки исполнения любого запроса и ведение протокола испо</w:t>
      </w:r>
      <w:r w:rsidRPr="00A44E10">
        <w:t>л</w:t>
      </w:r>
      <w:r w:rsidRPr="00A44E10">
        <w:t>нения запросов облегчают проведение аудита и позволяют минимизировать угрозы утечки данных и перегрузки сервера БД.</w:t>
      </w:r>
    </w:p>
    <w:p w:rsidR="005D5267" w:rsidRPr="00380BA5" w:rsidRDefault="00523D05" w:rsidP="00523D05">
      <w:pPr>
        <w:pStyle w:val="af1"/>
      </w:pPr>
      <w:r w:rsidRPr="00A44E10">
        <w:t>Представленное решение позволило существенно снизить трудозатраты на организацию новых потоков обмена данными со сторонними приложениями и предоставило разработчикам сторонних приложений простой инструмент для оперативного использования данных, накопленных в ИИАС.</w:t>
      </w:r>
      <w:r w:rsidR="009B0306" w:rsidRPr="00380BA5">
        <w:t xml:space="preserve"> </w:t>
      </w:r>
    </w:p>
    <w:sectPr w:rsidR="005D5267" w:rsidRPr="00380BA5" w:rsidSect="009B0306"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25A" w:rsidRDefault="0042025A">
      <w:r>
        <w:separator/>
      </w:r>
    </w:p>
  </w:endnote>
  <w:endnote w:type="continuationSeparator" w:id="0">
    <w:p w:rsidR="0042025A" w:rsidRDefault="0042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523D05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523D05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25A" w:rsidRDefault="0042025A">
      <w:r>
        <w:separator/>
      </w:r>
    </w:p>
  </w:footnote>
  <w:footnote w:type="continuationSeparator" w:id="0">
    <w:p w:rsidR="0042025A" w:rsidRDefault="00420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25A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3D05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365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1F62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2AF5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4633300-EF1C-4AA1-9C5A-8931A453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2011-10-05T19:53:00Z</dcterms:created>
  <dcterms:modified xsi:type="dcterms:W3CDTF">2011-10-05T19:53:00Z</dcterms:modified>
</cp:coreProperties>
</file>